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B81F22" w:rsidRDefault="00B81F22" w14:paraId="4A0DD5C5" w14:textId="688E143D">
      <w:r>
        <w:rPr>
          <w:noProof/>
        </w:rPr>
        <w:drawing>
          <wp:inline distT="0" distB="0" distL="0" distR="0" wp14:anchorId="66003A0F" wp14:editId="7AB03614">
            <wp:extent cx="3228002" cy="23456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54430" cy="251016"/>
                    </a:xfrm>
                    <a:prstGeom prst="rect">
                      <a:avLst/>
                    </a:prstGeom>
                    <a:noFill/>
                    <a:ln>
                      <a:noFill/>
                    </a:ln>
                  </pic:spPr>
                </pic:pic>
              </a:graphicData>
            </a:graphic>
          </wp:inline>
        </w:drawing>
      </w:r>
    </w:p>
    <w:p w:rsidR="00000EE3" w:rsidP="00D03386" w:rsidRDefault="00D03386" w14:paraId="1F3F1ADB" w14:textId="32528CFD">
      <w:pPr>
        <w:spacing w:after="0" w:line="240" w:lineRule="auto"/>
        <w:rPr>
          <w:rFonts w:ascii="Calibri" w:hAnsi="Calibri" w:eastAsia="Times New Roman" w:cs="Calibri"/>
          <w:color w:val="000000"/>
        </w:rPr>
      </w:pPr>
      <w:r w:rsidRPr="00D03386">
        <w:rPr>
          <w:rFonts w:ascii="Calibri" w:hAnsi="Calibri" w:eastAsia="Times New Roman" w:cs="Calibri"/>
          <w:color w:val="000000"/>
        </w:rPr>
        <w:t>The standard charge information displayed within this machine-readable file is as of 04/01/2024</w:t>
      </w:r>
      <w:r>
        <w:rPr>
          <w:rFonts w:ascii="Calibri" w:hAnsi="Calibri" w:eastAsia="Times New Roman" w:cs="Calibri"/>
          <w:color w:val="000000"/>
        </w:rPr>
        <w:t>.</w:t>
      </w:r>
    </w:p>
    <w:p w:rsidRPr="00D03386" w:rsidR="00D03386" w:rsidP="00D03386" w:rsidRDefault="00D03386" w14:paraId="6BA49258" w14:textId="77777777">
      <w:pPr>
        <w:spacing w:after="0" w:line="240" w:lineRule="auto"/>
        <w:rPr>
          <w:rFonts w:ascii="Calibri" w:hAnsi="Calibri" w:eastAsia="Times New Roman" w:cs="Calibri"/>
          <w:color w:val="000000"/>
        </w:rPr>
      </w:pPr>
    </w:p>
    <w:tbl>
      <w:tblPr>
        <w:tblStyle w:val="TableGrid"/>
        <w:tblW w:w="0" w:type="auto"/>
        <w:tblInd w:w="-8" w:type="dxa"/>
        <w:tblLook w:val="04A0" w:firstRow="1" w:lastRow="0" w:firstColumn="1" w:lastColumn="0" w:noHBand="0" w:noVBand="1"/>
      </w:tblPr>
      <w:tblGrid>
        <w:gridCol w:w="2774"/>
        <w:gridCol w:w="6792"/>
      </w:tblGrid>
      <w:tr w:rsidRPr="00B21889" w:rsidR="009A6434" w:rsidTr="4931D6C7" w14:paraId="286B8DCB" w14:textId="77777777">
        <w:trPr>
          <w:trHeight w:val="350"/>
        </w:trPr>
        <w:tc>
          <w:tcPr>
            <w:tcW w:w="9566" w:type="dxa"/>
            <w:gridSpan w:val="2"/>
            <w:tcMar/>
            <w:hideMark/>
          </w:tcPr>
          <w:p w:rsidRPr="00B21889" w:rsidR="009A6434" w:rsidP="009A6434" w:rsidRDefault="009A6434" w14:paraId="7F8B91F6" w14:textId="01906AEC">
            <w:pPr>
              <w:jc w:val="center"/>
              <w:rPr>
                <w:b/>
                <w:bCs/>
              </w:rPr>
            </w:pPr>
            <w:r>
              <w:rPr>
                <w:b/>
                <w:bCs/>
              </w:rPr>
              <w:t>Definitions</w:t>
            </w:r>
          </w:p>
        </w:tc>
      </w:tr>
      <w:tr w:rsidR="00B22AC0" w:rsidTr="4931D6C7" w14:paraId="2438D304" w14:textId="77777777">
        <w:trPr>
          <w:trHeight w:val="548"/>
        </w:trPr>
        <w:tc>
          <w:tcPr>
            <w:tcW w:w="2774" w:type="dxa"/>
            <w:tcMar/>
          </w:tcPr>
          <w:p w:rsidR="00B22AC0" w:rsidP="00B22AC0" w:rsidRDefault="00B22AC0" w14:paraId="262805CC" w14:textId="111D3A0B">
            <w:r>
              <w:t>Entity Code</w:t>
            </w:r>
          </w:p>
        </w:tc>
        <w:tc>
          <w:tcPr>
            <w:tcW w:w="6792" w:type="dxa"/>
            <w:tcMar/>
            <w:vAlign w:val="bottom"/>
          </w:tcPr>
          <w:p w:rsidR="00B22AC0" w:rsidP="00B22AC0" w:rsidRDefault="00B22AC0" w14:paraId="687323FF" w14:textId="5AEB0BA5">
            <w:pPr>
              <w:rPr>
                <w:rFonts w:ascii="Calibri" w:hAnsi="Calibri" w:cs="Calibri"/>
                <w:color w:val="000000"/>
              </w:rPr>
            </w:pPr>
            <w:r w:rsidRPr="00B22AC0">
              <w:rPr>
                <w:rFonts w:ascii="Calibri" w:hAnsi="Calibri" w:cs="Calibri"/>
                <w:color w:val="000000"/>
              </w:rPr>
              <w:t>Represents hospital entity/location if more than one location is reported within the same Machine-Readable File</w:t>
            </w:r>
          </w:p>
        </w:tc>
      </w:tr>
      <w:tr w:rsidR="00B22AC0" w:rsidTr="4931D6C7" w14:paraId="1EFC6AFB" w14:textId="77777777">
        <w:trPr>
          <w:trHeight w:val="890"/>
        </w:trPr>
        <w:tc>
          <w:tcPr>
            <w:tcW w:w="2774" w:type="dxa"/>
            <w:tcMar/>
          </w:tcPr>
          <w:p w:rsidR="00B22AC0" w:rsidP="00B22AC0" w:rsidRDefault="009A6434" w14:paraId="022D3A6C" w14:textId="05958109">
            <w:r>
              <w:t>Description</w:t>
            </w:r>
          </w:p>
        </w:tc>
        <w:tc>
          <w:tcPr>
            <w:tcW w:w="6792" w:type="dxa"/>
            <w:tcMar/>
            <w:vAlign w:val="bottom"/>
          </w:tcPr>
          <w:p w:rsidR="00B22AC0" w:rsidP="00B22AC0" w:rsidRDefault="00B22AC0" w14:paraId="1C26FE74" w14:textId="5383F236">
            <w:r>
              <w:rPr>
                <w:rFonts w:ascii="Calibri" w:hAnsi="Calibri" w:cs="Calibri"/>
                <w:color w:val="000000"/>
              </w:rPr>
              <w:t>Respective billing descriptions for MS-DRG, APRDRG, HCPCS, Hospital Chargemaster, Physician Chargemaster or NDC</w:t>
            </w:r>
          </w:p>
        </w:tc>
      </w:tr>
      <w:tr w:rsidR="00233154" w:rsidTr="4931D6C7" w14:paraId="76C095F3" w14:textId="77777777">
        <w:tc>
          <w:tcPr>
            <w:tcW w:w="2774" w:type="dxa"/>
            <w:tcMar/>
          </w:tcPr>
          <w:p w:rsidR="00233154" w:rsidP="00B22AC0" w:rsidRDefault="009A6434" w14:paraId="183E72C6" w14:textId="7B7E4BC0">
            <w:r>
              <w:rPr>
                <w:rFonts w:ascii="Calibri" w:hAnsi="Calibri" w:cs="Calibri"/>
                <w:color w:val="000000"/>
              </w:rPr>
              <w:t>Code |1</w:t>
            </w:r>
          </w:p>
        </w:tc>
        <w:tc>
          <w:tcPr>
            <w:tcW w:w="6792" w:type="dxa"/>
            <w:tcMar/>
            <w:vAlign w:val="bottom"/>
          </w:tcPr>
          <w:p w:rsidR="00233154" w:rsidP="00B22AC0" w:rsidRDefault="00233154" w14:paraId="2EC5D672" w14:textId="4239121A">
            <w:pPr>
              <w:rPr>
                <w:rFonts w:ascii="Calibri" w:hAnsi="Calibri" w:cs="Calibri"/>
                <w:color w:val="000000"/>
              </w:rPr>
            </w:pPr>
            <w:r>
              <w:rPr>
                <w:rFonts w:ascii="Calibri" w:hAnsi="Calibri" w:cs="Calibri"/>
                <w:color w:val="000000"/>
              </w:rPr>
              <w:t>Represents the respective hospital billing code consistent with the code|1|type</w:t>
            </w:r>
            <w:r w:rsidR="009A6434">
              <w:rPr>
                <w:rFonts w:ascii="Calibri" w:hAnsi="Calibri" w:cs="Calibri"/>
                <w:color w:val="000000"/>
              </w:rPr>
              <w:t>. Code |1| type can be one of the following:</w:t>
            </w:r>
          </w:p>
        </w:tc>
      </w:tr>
      <w:tr w:rsidR="009A6434" w:rsidTr="4931D6C7" w14:paraId="6675ABAF" w14:textId="77777777">
        <w:tc>
          <w:tcPr>
            <w:tcW w:w="2774" w:type="dxa"/>
            <w:tcMar/>
          </w:tcPr>
          <w:p w:rsidR="009A6434" w:rsidP="00B22AC0" w:rsidRDefault="009A6434" w14:paraId="54A0EA8F" w14:textId="4533F0C9">
            <w:r>
              <w:rPr>
                <w:rFonts w:ascii="Calibri" w:hAnsi="Calibri" w:cs="Calibri"/>
                <w:color w:val="000000"/>
              </w:rPr>
              <w:t>Code|1| Type: MS-DRG</w:t>
            </w:r>
          </w:p>
        </w:tc>
        <w:tc>
          <w:tcPr>
            <w:tcW w:w="6792" w:type="dxa"/>
            <w:tcMar/>
            <w:vAlign w:val="bottom"/>
          </w:tcPr>
          <w:p w:rsidR="009A6434" w:rsidP="00B22AC0" w:rsidRDefault="009A6434" w14:paraId="3C5365D0" w14:textId="74A92C27">
            <w:r>
              <w:rPr>
                <w:rFonts w:ascii="Calibri" w:hAnsi="Calibri" w:cs="Calibri"/>
                <w:color w:val="000000"/>
              </w:rPr>
              <w:t>Payer specific MS-DRG service package. Displays standard/average charge, negotiated rate, deidentified max/min, &amp; discounted cash price</w:t>
            </w:r>
          </w:p>
        </w:tc>
      </w:tr>
      <w:tr w:rsidR="009A6434" w:rsidTr="4931D6C7" w14:paraId="203E769E" w14:textId="77777777">
        <w:tc>
          <w:tcPr>
            <w:tcW w:w="2774" w:type="dxa"/>
            <w:tcMar/>
          </w:tcPr>
          <w:p w:rsidR="009A6434" w:rsidP="00B22AC0" w:rsidRDefault="009A6434" w14:paraId="4B485195" w14:textId="0E0E40F3">
            <w:r>
              <w:rPr>
                <w:rFonts w:ascii="Calibri" w:hAnsi="Calibri" w:cs="Calibri"/>
                <w:color w:val="000000"/>
              </w:rPr>
              <w:t xml:space="preserve">Code|1| Type: </w:t>
            </w:r>
            <w:r>
              <w:rPr>
                <w:rFonts w:ascii="Calibri" w:hAnsi="Calibri" w:cs="Calibri"/>
                <w:color w:val="000000"/>
              </w:rPr>
              <w:t>APRDRG</w:t>
            </w:r>
          </w:p>
        </w:tc>
        <w:tc>
          <w:tcPr>
            <w:tcW w:w="6792" w:type="dxa"/>
            <w:tcMar/>
            <w:vAlign w:val="bottom"/>
          </w:tcPr>
          <w:p w:rsidR="009A6434" w:rsidP="00B22AC0" w:rsidRDefault="009A6434" w14:paraId="306EA862" w14:textId="17910654">
            <w:r>
              <w:rPr>
                <w:rFonts w:ascii="Calibri" w:hAnsi="Calibri" w:cs="Calibri"/>
                <w:color w:val="000000"/>
              </w:rPr>
              <w:t>Payer specific APRDRG service package. Displays standard/average charge, negotiated rate, deidentified max/min, &amp; discounted cash price</w:t>
            </w:r>
          </w:p>
        </w:tc>
      </w:tr>
      <w:tr w:rsidR="009A6434" w:rsidTr="4931D6C7" w14:paraId="68713237" w14:textId="77777777">
        <w:tc>
          <w:tcPr>
            <w:tcW w:w="2774" w:type="dxa"/>
            <w:tcMar/>
          </w:tcPr>
          <w:p w:rsidR="009A6434" w:rsidP="00B22AC0" w:rsidRDefault="009A6434" w14:paraId="17595C06" w14:textId="0F42D0D2">
            <w:r>
              <w:rPr>
                <w:rFonts w:ascii="Calibri" w:hAnsi="Calibri" w:cs="Calibri"/>
                <w:color w:val="000000"/>
              </w:rPr>
              <w:t>HCPCS</w:t>
            </w:r>
          </w:p>
        </w:tc>
        <w:tc>
          <w:tcPr>
            <w:tcW w:w="6792" w:type="dxa"/>
            <w:tcMar/>
            <w:vAlign w:val="bottom"/>
          </w:tcPr>
          <w:p w:rsidR="009A6434" w:rsidP="00B22AC0" w:rsidRDefault="009A6434" w14:paraId="5A2C16BD" w14:textId="71FD8B1C">
            <w:r w:rsidRPr="4931D6C7" w:rsidR="009A6434">
              <w:rPr>
                <w:rFonts w:ascii="Calibri" w:hAnsi="Calibri" w:cs="Calibri"/>
                <w:color w:val="000000" w:themeColor="text1" w:themeTint="FF" w:themeShade="FF"/>
              </w:rPr>
              <w:t>Represents</w:t>
            </w:r>
            <w:r w:rsidRPr="4931D6C7" w:rsidR="009A6434">
              <w:rPr>
                <w:rFonts w:ascii="Calibri" w:hAnsi="Calibri" w:cs="Calibri"/>
                <w:color w:val="000000" w:themeColor="text1" w:themeTint="FF" w:themeShade="FF"/>
              </w:rPr>
              <w:t xml:space="preserve"> service level HCPCS not directly assigned within the hospital chargemaster. Can include Same Day Surgery Service Packages and/or negotiated rates not listed on hospital</w:t>
            </w:r>
            <w:r w:rsidRPr="4931D6C7" w:rsidR="643F2630">
              <w:rPr>
                <w:rFonts w:ascii="Calibri" w:hAnsi="Calibri" w:cs="Calibri"/>
                <w:color w:val="000000" w:themeColor="text1" w:themeTint="FF" w:themeShade="FF"/>
              </w:rPr>
              <w:t xml:space="preserve"> Chargemaster.</w:t>
            </w:r>
          </w:p>
        </w:tc>
      </w:tr>
      <w:tr w:rsidR="009A6434" w:rsidTr="4931D6C7" w14:paraId="24CB54FD" w14:textId="77777777">
        <w:tc>
          <w:tcPr>
            <w:tcW w:w="2774" w:type="dxa"/>
            <w:tcMar/>
          </w:tcPr>
          <w:p w:rsidR="009A6434" w:rsidP="00B22AC0" w:rsidRDefault="009A6434" w14:paraId="59A054DA" w14:textId="05841633">
            <w:r>
              <w:t>CDM</w:t>
            </w:r>
          </w:p>
        </w:tc>
        <w:tc>
          <w:tcPr>
            <w:tcW w:w="6792" w:type="dxa"/>
            <w:tcMar/>
            <w:vAlign w:val="bottom"/>
          </w:tcPr>
          <w:p w:rsidR="009A6434" w:rsidP="00B22AC0" w:rsidRDefault="009A6434" w14:paraId="76E4061C" w14:textId="3BFAF8F0">
            <w:r>
              <w:rPr>
                <w:rFonts w:ascii="Calibri" w:hAnsi="Calibri" w:cs="Calibri"/>
                <w:color w:val="000000"/>
              </w:rPr>
              <w:t>Displays standard/average charge, negotiated rate, deidentified max/min, &amp; discounted cash price</w:t>
            </w:r>
          </w:p>
        </w:tc>
      </w:tr>
      <w:tr w:rsidR="009A6434" w:rsidTr="4931D6C7" w14:paraId="5987E88B" w14:textId="77777777">
        <w:tc>
          <w:tcPr>
            <w:tcW w:w="2774" w:type="dxa"/>
            <w:tcMar/>
          </w:tcPr>
          <w:p w:rsidR="009A6434" w:rsidP="00B22AC0" w:rsidRDefault="009A6434" w14:paraId="27882848" w14:textId="22E92F3F">
            <w:r>
              <w:rPr>
                <w:rFonts w:ascii="Calibri" w:hAnsi="Calibri" w:cs="Calibri"/>
                <w:color w:val="000000"/>
              </w:rPr>
              <w:t>Hospital Charge Master</w:t>
            </w:r>
          </w:p>
        </w:tc>
        <w:tc>
          <w:tcPr>
            <w:tcW w:w="6792" w:type="dxa"/>
            <w:tcMar/>
            <w:vAlign w:val="bottom"/>
          </w:tcPr>
          <w:p w:rsidR="009A6434" w:rsidP="00B22AC0" w:rsidRDefault="009A6434" w14:paraId="2D7E18BD" w14:textId="5D271DE1">
            <w:r>
              <w:rPr>
                <w:rFonts w:ascii="Calibri" w:hAnsi="Calibri" w:cs="Calibri"/>
                <w:color w:val="000000"/>
              </w:rPr>
              <w:t>Represents items directly billed from the Hospital Chargemaster</w:t>
            </w:r>
          </w:p>
        </w:tc>
      </w:tr>
      <w:tr w:rsidR="009A6434" w:rsidTr="4931D6C7" w14:paraId="47F19D0D" w14:textId="77777777">
        <w:tc>
          <w:tcPr>
            <w:tcW w:w="2774" w:type="dxa"/>
            <w:tcMar/>
          </w:tcPr>
          <w:p w:rsidR="009A6434" w:rsidP="00B22AC0" w:rsidRDefault="009A6434" w14:paraId="4DF10D30" w14:textId="0CAC8631">
            <w:r>
              <w:rPr>
                <w:rFonts w:ascii="Calibri" w:hAnsi="Calibri" w:cs="Calibri"/>
                <w:color w:val="000000"/>
              </w:rPr>
              <w:t>Physician Charge Master</w:t>
            </w:r>
          </w:p>
        </w:tc>
        <w:tc>
          <w:tcPr>
            <w:tcW w:w="6792" w:type="dxa"/>
            <w:tcMar/>
            <w:vAlign w:val="bottom"/>
          </w:tcPr>
          <w:p w:rsidR="009A6434" w:rsidP="00B22AC0" w:rsidRDefault="009A6434" w14:paraId="3393CB79" w14:textId="3556A222">
            <w:r>
              <w:rPr>
                <w:rFonts w:ascii="Calibri" w:hAnsi="Calibri" w:cs="Calibri"/>
                <w:color w:val="000000"/>
              </w:rPr>
              <w:t>Represents items directly billed from the Physician Chargemaster</w:t>
            </w:r>
          </w:p>
        </w:tc>
      </w:tr>
      <w:tr w:rsidR="009A6434" w:rsidTr="4931D6C7" w14:paraId="00A0E117" w14:textId="77777777">
        <w:tc>
          <w:tcPr>
            <w:tcW w:w="2774" w:type="dxa"/>
            <w:tcMar/>
          </w:tcPr>
          <w:p w:rsidR="009A6434" w:rsidP="00B22AC0" w:rsidRDefault="009A6434" w14:paraId="1B22C920" w14:textId="4D1BFCE1">
            <w:r>
              <w:rPr>
                <w:rFonts w:ascii="Calibri" w:hAnsi="Calibri" w:cs="Calibri"/>
                <w:color w:val="000000"/>
              </w:rPr>
              <w:t>NDC</w:t>
            </w:r>
          </w:p>
        </w:tc>
        <w:tc>
          <w:tcPr>
            <w:tcW w:w="6792" w:type="dxa"/>
            <w:tcMar/>
            <w:vAlign w:val="bottom"/>
          </w:tcPr>
          <w:p w:rsidRPr="00B22AC0" w:rsidR="009A6434" w:rsidP="00B22AC0" w:rsidRDefault="009A6434" w14:paraId="208A9C74" w14:textId="1F13CBDC">
            <w:pPr>
              <w:rPr>
                <w:rFonts w:ascii="Calibri" w:hAnsi="Calibri" w:cs="Calibri"/>
                <w:color w:val="000000"/>
              </w:rPr>
            </w:pPr>
            <w:r>
              <w:rPr>
                <w:rFonts w:ascii="Calibri" w:hAnsi="Calibri" w:cs="Calibri"/>
                <w:color w:val="000000"/>
              </w:rPr>
              <w:t>Represents items from the hospitals drug formulary</w:t>
            </w:r>
          </w:p>
        </w:tc>
      </w:tr>
      <w:tr w:rsidR="009A6434" w:rsidTr="4931D6C7" w14:paraId="745079EA" w14:textId="77777777">
        <w:tc>
          <w:tcPr>
            <w:tcW w:w="2774" w:type="dxa"/>
            <w:tcMar/>
          </w:tcPr>
          <w:p w:rsidR="009A6434" w:rsidP="00B22AC0" w:rsidRDefault="009A6434" w14:paraId="08FEC44E" w14:textId="3BEBAC4D">
            <w:r>
              <w:rPr>
                <w:rFonts w:ascii="Calibri" w:hAnsi="Calibri" w:cs="Calibri"/>
                <w:color w:val="000000"/>
              </w:rPr>
              <w:t xml:space="preserve">Code|2 </w:t>
            </w:r>
          </w:p>
        </w:tc>
        <w:tc>
          <w:tcPr>
            <w:tcW w:w="6792" w:type="dxa"/>
            <w:tcMar/>
            <w:vAlign w:val="bottom"/>
          </w:tcPr>
          <w:p w:rsidR="009A6434" w:rsidP="00B22AC0" w:rsidRDefault="009A6434" w14:paraId="30BD96D7" w14:textId="71BCC957">
            <w:r>
              <w:rPr>
                <w:rFonts w:ascii="Calibri" w:hAnsi="Calibri" w:cs="Calibri"/>
                <w:color w:val="000000"/>
              </w:rPr>
              <w:t>Hospital revenue code used for billing as applicable</w:t>
            </w:r>
          </w:p>
        </w:tc>
      </w:tr>
      <w:tr w:rsidR="009A6434" w:rsidTr="4931D6C7" w14:paraId="3F06FFB7" w14:textId="77777777">
        <w:tc>
          <w:tcPr>
            <w:tcW w:w="2774" w:type="dxa"/>
            <w:tcMar/>
          </w:tcPr>
          <w:p w:rsidR="009A6434" w:rsidP="00B22AC0" w:rsidRDefault="009A6434" w14:paraId="4E61EE9B" w14:textId="125666C9">
            <w:r>
              <w:rPr>
                <w:rFonts w:ascii="Calibri" w:hAnsi="Calibri" w:cs="Calibri"/>
                <w:color w:val="000000"/>
              </w:rPr>
              <w:t>Code|2|Type</w:t>
            </w:r>
          </w:p>
        </w:tc>
        <w:tc>
          <w:tcPr>
            <w:tcW w:w="6792" w:type="dxa"/>
            <w:tcMar/>
            <w:vAlign w:val="bottom"/>
          </w:tcPr>
          <w:p w:rsidR="009A6434" w:rsidP="00B22AC0" w:rsidRDefault="009A6434" w14:paraId="1E0BA007" w14:textId="20A4DEBC">
            <w:r>
              <w:rPr>
                <w:rFonts w:ascii="Calibri" w:hAnsi="Calibri" w:cs="Calibri"/>
                <w:color w:val="000000"/>
              </w:rPr>
              <w:t>Descriptions for hospital revenue code used for billing</w:t>
            </w:r>
          </w:p>
        </w:tc>
      </w:tr>
      <w:tr w:rsidR="009A6434" w:rsidTr="4931D6C7" w14:paraId="38118A7F" w14:textId="77777777">
        <w:tc>
          <w:tcPr>
            <w:tcW w:w="2774" w:type="dxa"/>
            <w:tcMar/>
          </w:tcPr>
          <w:p w:rsidR="009A6434" w:rsidP="00B22AC0" w:rsidRDefault="009A6434" w14:paraId="24641965" w14:textId="0AC29190">
            <w:pPr>
              <w:rPr>
                <w:rFonts w:ascii="Calibri" w:hAnsi="Calibri" w:cs="Calibri"/>
                <w:color w:val="000000"/>
              </w:rPr>
            </w:pPr>
            <w:r>
              <w:rPr>
                <w:rFonts w:ascii="Calibri" w:hAnsi="Calibri" w:cs="Calibri"/>
                <w:color w:val="000000"/>
              </w:rPr>
              <w:t xml:space="preserve">Code|3 </w:t>
            </w:r>
          </w:p>
        </w:tc>
        <w:tc>
          <w:tcPr>
            <w:tcW w:w="6792" w:type="dxa"/>
            <w:tcMar/>
            <w:vAlign w:val="bottom"/>
          </w:tcPr>
          <w:p w:rsidR="009A6434" w:rsidP="00B22AC0" w:rsidRDefault="009A6434" w14:paraId="2F2EF8F5" w14:textId="55A327EA">
            <w:pPr>
              <w:rPr>
                <w:rFonts w:ascii="Calibri" w:hAnsi="Calibri" w:cs="Calibri"/>
                <w:color w:val="000000"/>
              </w:rPr>
            </w:pPr>
            <w:r>
              <w:rPr>
                <w:rFonts w:ascii="Calibri" w:hAnsi="Calibri" w:cs="Calibri"/>
                <w:color w:val="000000"/>
              </w:rPr>
              <w:t>Represents HCPCS code used for billing as applicable</w:t>
            </w:r>
          </w:p>
        </w:tc>
      </w:tr>
      <w:tr w:rsidR="009A6434" w:rsidTr="4931D6C7" w14:paraId="438B0978" w14:textId="77777777">
        <w:tc>
          <w:tcPr>
            <w:tcW w:w="2774" w:type="dxa"/>
            <w:tcMar/>
          </w:tcPr>
          <w:p w:rsidR="009A6434" w:rsidP="00B22AC0" w:rsidRDefault="009A6434" w14:paraId="0A8CDAC9" w14:textId="62BA318E">
            <w:r>
              <w:rPr>
                <w:rFonts w:ascii="Calibri" w:hAnsi="Calibri" w:cs="Calibri"/>
                <w:color w:val="000000"/>
              </w:rPr>
              <w:t>Billing Class</w:t>
            </w:r>
          </w:p>
        </w:tc>
        <w:tc>
          <w:tcPr>
            <w:tcW w:w="6792" w:type="dxa"/>
            <w:tcMar/>
            <w:vAlign w:val="bottom"/>
          </w:tcPr>
          <w:p w:rsidR="009A6434" w:rsidP="00B22AC0" w:rsidRDefault="009A6434" w14:paraId="58B2198D" w14:textId="110B9A2B">
            <w:r>
              <w:rPr>
                <w:rFonts w:ascii="Calibri" w:hAnsi="Calibri" w:cs="Calibri"/>
                <w:color w:val="000000"/>
              </w:rPr>
              <w:t>Distinguishes between Facility or Professional items or services</w:t>
            </w:r>
          </w:p>
        </w:tc>
      </w:tr>
      <w:tr w:rsidR="009A6434" w:rsidTr="4931D6C7" w14:paraId="0C21EADD" w14:textId="77777777">
        <w:tc>
          <w:tcPr>
            <w:tcW w:w="2774" w:type="dxa"/>
            <w:tcMar/>
          </w:tcPr>
          <w:p w:rsidR="009A6434" w:rsidP="00B22AC0" w:rsidRDefault="009A6434" w14:paraId="63305336" w14:textId="23AC9099">
            <w:pPr>
              <w:rPr>
                <w:rFonts w:ascii="Calibri" w:hAnsi="Calibri" w:cs="Calibri"/>
                <w:color w:val="000000"/>
              </w:rPr>
            </w:pPr>
            <w:r>
              <w:rPr>
                <w:rFonts w:ascii="Calibri" w:hAnsi="Calibri" w:cs="Calibri"/>
                <w:color w:val="000000"/>
              </w:rPr>
              <w:t>Setting</w:t>
            </w:r>
          </w:p>
        </w:tc>
        <w:tc>
          <w:tcPr>
            <w:tcW w:w="6792" w:type="dxa"/>
            <w:tcMar/>
            <w:vAlign w:val="bottom"/>
          </w:tcPr>
          <w:p w:rsidR="009A6434" w:rsidP="00B22AC0" w:rsidRDefault="009A6434" w14:paraId="4FF52F3C" w14:textId="1C2C01AC">
            <w:pPr>
              <w:rPr>
                <w:rFonts w:ascii="Calibri" w:hAnsi="Calibri" w:cs="Calibri"/>
                <w:color w:val="000000"/>
              </w:rPr>
            </w:pPr>
            <w:r>
              <w:rPr>
                <w:rFonts w:ascii="Calibri" w:hAnsi="Calibri" w:cs="Calibri"/>
                <w:color w:val="000000"/>
              </w:rPr>
              <w:t xml:space="preserve"> Identifies where item of service is provided</w:t>
            </w:r>
          </w:p>
        </w:tc>
      </w:tr>
      <w:tr w:rsidR="009A6434" w:rsidTr="4931D6C7" w14:paraId="47DF0423" w14:textId="77777777">
        <w:tc>
          <w:tcPr>
            <w:tcW w:w="2774" w:type="dxa"/>
            <w:tcMar/>
          </w:tcPr>
          <w:p w:rsidR="009A6434" w:rsidP="00B22AC0" w:rsidRDefault="009A6434" w14:paraId="7E94978D" w14:textId="0A769581">
            <w:r>
              <w:rPr>
                <w:rFonts w:ascii="Calibri" w:hAnsi="Calibri" w:cs="Calibri"/>
                <w:color w:val="000000"/>
              </w:rPr>
              <w:t>Drug Unit of Measurement</w:t>
            </w:r>
          </w:p>
        </w:tc>
        <w:tc>
          <w:tcPr>
            <w:tcW w:w="6792" w:type="dxa"/>
            <w:tcMar/>
            <w:vAlign w:val="bottom"/>
          </w:tcPr>
          <w:p w:rsidR="009A6434" w:rsidP="00B22AC0" w:rsidRDefault="009A6434" w14:paraId="25870532" w14:textId="278CA34F">
            <w:pPr>
              <w:rPr>
                <w:rFonts w:ascii="Calibri" w:hAnsi="Calibri" w:cs="Calibri"/>
                <w:color w:val="000000"/>
              </w:rPr>
            </w:pPr>
            <w:r>
              <w:rPr>
                <w:rFonts w:ascii="Calibri" w:hAnsi="Calibri" w:cs="Calibri"/>
                <w:color w:val="000000"/>
              </w:rPr>
              <w:t>The unit value that corresponds to the established standard charge for drugs</w:t>
            </w:r>
          </w:p>
        </w:tc>
      </w:tr>
      <w:tr w:rsidR="009A6434" w:rsidTr="4931D6C7" w14:paraId="27657A12" w14:textId="77777777">
        <w:tc>
          <w:tcPr>
            <w:tcW w:w="2774" w:type="dxa"/>
            <w:tcMar/>
          </w:tcPr>
          <w:p w:rsidR="009A6434" w:rsidP="00B22AC0" w:rsidRDefault="009A6434" w14:paraId="47F712DD" w14:textId="1B8F46B9">
            <w:r>
              <w:rPr>
                <w:rFonts w:ascii="Calibri" w:hAnsi="Calibri" w:cs="Calibri"/>
                <w:color w:val="000000"/>
              </w:rPr>
              <w:t>Modifier</w:t>
            </w:r>
          </w:p>
        </w:tc>
        <w:tc>
          <w:tcPr>
            <w:tcW w:w="6792" w:type="dxa"/>
            <w:tcMar/>
            <w:vAlign w:val="bottom"/>
          </w:tcPr>
          <w:p w:rsidR="009A6434" w:rsidP="00B22AC0" w:rsidRDefault="009A6434" w14:paraId="6C9B930E" w14:textId="21D5A607">
            <w:r>
              <w:rPr>
                <w:rFonts w:ascii="Calibri" w:hAnsi="Calibri" w:cs="Calibri"/>
                <w:color w:val="000000"/>
              </w:rPr>
              <w:t>Payment modifier is applicable</w:t>
            </w:r>
          </w:p>
        </w:tc>
      </w:tr>
      <w:tr w:rsidR="009A6434" w:rsidTr="4931D6C7" w14:paraId="0AA28C5F" w14:textId="77777777">
        <w:tc>
          <w:tcPr>
            <w:tcW w:w="2774" w:type="dxa"/>
            <w:tcMar/>
          </w:tcPr>
          <w:p w:rsidR="009A6434" w:rsidP="00B22AC0" w:rsidRDefault="009A6434" w14:paraId="7B08D349" w14:textId="2088FF9A">
            <w:r>
              <w:rPr>
                <w:rFonts w:ascii="Calibri" w:hAnsi="Calibri" w:cs="Calibri"/>
                <w:color w:val="000000"/>
              </w:rPr>
              <w:t xml:space="preserve">Standard Gross Charges </w:t>
            </w:r>
          </w:p>
        </w:tc>
        <w:tc>
          <w:tcPr>
            <w:tcW w:w="6792" w:type="dxa"/>
            <w:tcMar/>
            <w:vAlign w:val="bottom"/>
          </w:tcPr>
          <w:p w:rsidR="009A6434" w:rsidP="00B22AC0" w:rsidRDefault="009A6434" w14:paraId="1C9E940E" w14:textId="39FA8611">
            <w:r>
              <w:rPr>
                <w:rFonts w:ascii="Calibri" w:hAnsi="Calibri" w:cs="Calibri"/>
                <w:color w:val="000000"/>
              </w:rPr>
              <w:t>Represents the standard charge from the hospital charge master</w:t>
            </w:r>
          </w:p>
        </w:tc>
      </w:tr>
      <w:tr w:rsidR="009A6434" w:rsidTr="4931D6C7" w14:paraId="3A49030F" w14:textId="77777777">
        <w:tc>
          <w:tcPr>
            <w:tcW w:w="2774" w:type="dxa"/>
            <w:tcMar/>
          </w:tcPr>
          <w:p w:rsidR="009A6434" w:rsidP="00B22AC0" w:rsidRDefault="009A6434" w14:paraId="18EFBD3B" w14:textId="2D9B8CEE">
            <w:r>
              <w:rPr>
                <w:rFonts w:ascii="Calibri" w:hAnsi="Calibri" w:cs="Calibri"/>
                <w:color w:val="000000"/>
              </w:rPr>
              <w:t>Discounted Cash Price</w:t>
            </w:r>
          </w:p>
        </w:tc>
        <w:tc>
          <w:tcPr>
            <w:tcW w:w="6792" w:type="dxa"/>
            <w:tcMar/>
            <w:vAlign w:val="bottom"/>
          </w:tcPr>
          <w:p w:rsidR="009A6434" w:rsidP="00B22AC0" w:rsidRDefault="009A6434" w14:paraId="403B340F" w14:textId="43FC1320">
            <w:r>
              <w:rPr>
                <w:rFonts w:ascii="Calibri" w:hAnsi="Calibri" w:cs="Calibri"/>
                <w:color w:val="000000"/>
              </w:rPr>
              <w:t>Represents the hospitals discount cash price policy applied against the CDM charge as applicable</w:t>
            </w:r>
          </w:p>
        </w:tc>
      </w:tr>
      <w:tr w:rsidR="009A6434" w:rsidTr="4931D6C7" w14:paraId="396E1DA9" w14:textId="77777777">
        <w:tc>
          <w:tcPr>
            <w:tcW w:w="2774" w:type="dxa"/>
            <w:tcMar/>
          </w:tcPr>
          <w:p w:rsidR="009A6434" w:rsidP="00B22AC0" w:rsidRDefault="009A6434" w14:paraId="1E072799" w14:textId="3761DE1E">
            <w:r>
              <w:rPr>
                <w:rFonts w:ascii="Calibri" w:hAnsi="Calibri" w:cs="Calibri"/>
                <w:color w:val="000000"/>
              </w:rPr>
              <w:t>Payer Name</w:t>
            </w:r>
          </w:p>
        </w:tc>
        <w:tc>
          <w:tcPr>
            <w:tcW w:w="6792" w:type="dxa"/>
            <w:tcMar/>
            <w:vAlign w:val="bottom"/>
          </w:tcPr>
          <w:p w:rsidR="009A6434" w:rsidP="00B22AC0" w:rsidRDefault="009A6434" w14:paraId="1386E78F" w14:textId="6257896D">
            <w:r>
              <w:rPr>
                <w:rFonts w:ascii="Calibri" w:hAnsi="Calibri" w:cs="Calibri"/>
                <w:color w:val="000000"/>
              </w:rPr>
              <w:t>Contracted Payer Name</w:t>
            </w:r>
          </w:p>
        </w:tc>
      </w:tr>
      <w:tr w:rsidR="009A6434" w:rsidTr="4931D6C7" w14:paraId="3F6FB05E" w14:textId="77777777">
        <w:tc>
          <w:tcPr>
            <w:tcW w:w="2774" w:type="dxa"/>
            <w:tcMar/>
          </w:tcPr>
          <w:p w:rsidR="009A6434" w:rsidP="00B22AC0" w:rsidRDefault="009A6434" w14:paraId="5074A586" w14:textId="58ED0EB6">
            <w:r>
              <w:rPr>
                <w:rFonts w:ascii="Calibri" w:hAnsi="Calibri" w:cs="Calibri"/>
                <w:color w:val="000000"/>
              </w:rPr>
              <w:t>Plan Name</w:t>
            </w:r>
          </w:p>
        </w:tc>
        <w:tc>
          <w:tcPr>
            <w:tcW w:w="6792" w:type="dxa"/>
            <w:tcMar/>
            <w:vAlign w:val="bottom"/>
          </w:tcPr>
          <w:p w:rsidR="009A6434" w:rsidP="00B22AC0" w:rsidRDefault="009A6434" w14:paraId="25FEEA4F" w14:textId="34C66A53">
            <w:r>
              <w:rPr>
                <w:rFonts w:ascii="Calibri" w:hAnsi="Calibri" w:cs="Calibri"/>
                <w:color w:val="000000"/>
              </w:rPr>
              <w:t>Plan code description</w:t>
            </w:r>
          </w:p>
        </w:tc>
      </w:tr>
      <w:tr w:rsidR="009A6434" w:rsidTr="4931D6C7" w14:paraId="39F76347" w14:textId="77777777">
        <w:tc>
          <w:tcPr>
            <w:tcW w:w="2774" w:type="dxa"/>
            <w:tcMar/>
          </w:tcPr>
          <w:p w:rsidR="009A6434" w:rsidP="00B22AC0" w:rsidRDefault="009A6434" w14:paraId="2669196F" w14:textId="6E807E72">
            <w:r>
              <w:rPr>
                <w:rFonts w:ascii="Calibri" w:hAnsi="Calibri" w:cs="Calibri"/>
                <w:color w:val="000000"/>
              </w:rPr>
              <w:t>Standard Charge | Negotiated Dollar</w:t>
            </w:r>
          </w:p>
        </w:tc>
        <w:tc>
          <w:tcPr>
            <w:tcW w:w="6792" w:type="dxa"/>
            <w:tcMar/>
            <w:vAlign w:val="bottom"/>
          </w:tcPr>
          <w:p w:rsidR="009A6434" w:rsidP="00B22AC0" w:rsidRDefault="009A6434" w14:paraId="2901827B" w14:textId="0D06864B">
            <w:r>
              <w:rPr>
                <w:rFonts w:ascii="Calibri" w:hAnsi="Calibri" w:cs="Calibri"/>
                <w:color w:val="000000"/>
              </w:rPr>
              <w:t>Represents payer specific negotiated rate</w:t>
            </w:r>
          </w:p>
        </w:tc>
      </w:tr>
      <w:tr w:rsidR="009A6434" w:rsidTr="4931D6C7" w14:paraId="531ED3AA" w14:textId="77777777">
        <w:tc>
          <w:tcPr>
            <w:tcW w:w="2774" w:type="dxa"/>
            <w:tcMar/>
          </w:tcPr>
          <w:p w:rsidR="009A6434" w:rsidP="00B22AC0" w:rsidRDefault="009A6434" w14:paraId="62A87647" w14:textId="4CE2F889">
            <w:r>
              <w:rPr>
                <w:rFonts w:ascii="Calibri" w:hAnsi="Calibri" w:cs="Calibri"/>
                <w:color w:val="000000"/>
              </w:rPr>
              <w:t xml:space="preserve">Standard Charge | Negotiated Percent </w:t>
            </w:r>
          </w:p>
        </w:tc>
        <w:tc>
          <w:tcPr>
            <w:tcW w:w="6792" w:type="dxa"/>
            <w:tcMar/>
            <w:vAlign w:val="bottom"/>
          </w:tcPr>
          <w:p w:rsidR="009A6434" w:rsidP="00B22AC0" w:rsidRDefault="009A6434" w14:paraId="73CE79AD" w14:textId="423026EE">
            <w:r>
              <w:rPr>
                <w:rFonts w:ascii="Calibri" w:hAnsi="Calibri" w:cs="Calibri"/>
                <w:color w:val="000000"/>
              </w:rPr>
              <w:t>Payer-specific negotiated charge (expressed as a percentage)</w:t>
            </w:r>
          </w:p>
        </w:tc>
      </w:tr>
      <w:tr w:rsidR="009A6434" w:rsidTr="4931D6C7" w14:paraId="782310CF" w14:textId="77777777">
        <w:tc>
          <w:tcPr>
            <w:tcW w:w="2774" w:type="dxa"/>
            <w:tcMar/>
          </w:tcPr>
          <w:p w:rsidR="009A6434" w:rsidP="00B22AC0" w:rsidRDefault="009A6434" w14:paraId="60AAF74C" w14:textId="2CDDC95A">
            <w:r>
              <w:rPr>
                <w:rFonts w:ascii="Calibri" w:hAnsi="Calibri" w:cs="Calibri"/>
                <w:color w:val="000000"/>
              </w:rPr>
              <w:t>Standard Charge | min</w:t>
            </w:r>
          </w:p>
        </w:tc>
        <w:tc>
          <w:tcPr>
            <w:tcW w:w="6792" w:type="dxa"/>
            <w:tcMar/>
            <w:vAlign w:val="bottom"/>
          </w:tcPr>
          <w:p w:rsidR="009A6434" w:rsidP="00B22AC0" w:rsidRDefault="009A6434" w14:paraId="19DE16F2" w14:textId="2840A92C">
            <w:r>
              <w:rPr>
                <w:rFonts w:ascii="Calibri" w:hAnsi="Calibri" w:cs="Calibri"/>
                <w:color w:val="000000"/>
              </w:rPr>
              <w:t>Represents the lowest negotiated rate for payors with "like" base payment methodologies</w:t>
            </w:r>
          </w:p>
        </w:tc>
      </w:tr>
      <w:tr w:rsidR="009A6434" w:rsidTr="4931D6C7" w14:paraId="2718D0D8" w14:textId="77777777">
        <w:tc>
          <w:tcPr>
            <w:tcW w:w="2774" w:type="dxa"/>
            <w:tcMar/>
          </w:tcPr>
          <w:p w:rsidR="009A6434" w:rsidP="00B22AC0" w:rsidRDefault="009A6434" w14:paraId="7448DFAA" w14:textId="69F1EC63">
            <w:r>
              <w:rPr>
                <w:rFonts w:ascii="Calibri" w:hAnsi="Calibri" w:cs="Calibri"/>
                <w:color w:val="000000"/>
              </w:rPr>
              <w:t>Standard Charge | max</w:t>
            </w:r>
          </w:p>
        </w:tc>
        <w:tc>
          <w:tcPr>
            <w:tcW w:w="6792" w:type="dxa"/>
            <w:tcMar/>
            <w:vAlign w:val="bottom"/>
          </w:tcPr>
          <w:p w:rsidR="009A6434" w:rsidP="00B22AC0" w:rsidRDefault="009A6434" w14:paraId="2AB97060" w14:textId="014D032E">
            <w:r>
              <w:rPr>
                <w:rFonts w:ascii="Calibri" w:hAnsi="Calibri" w:cs="Calibri"/>
                <w:color w:val="000000"/>
              </w:rPr>
              <w:t>Represents the highest negotiated rate for payors with "like" base payment methodologies</w:t>
            </w:r>
          </w:p>
        </w:tc>
      </w:tr>
      <w:tr w:rsidR="009A6434" w:rsidTr="4931D6C7" w14:paraId="768947D1" w14:textId="77777777">
        <w:tc>
          <w:tcPr>
            <w:tcW w:w="2774" w:type="dxa"/>
            <w:tcMar/>
          </w:tcPr>
          <w:p w:rsidR="009A6434" w:rsidP="00B22AC0" w:rsidRDefault="009A6434" w14:paraId="7E10AA42" w14:textId="1517CD8B">
            <w:r>
              <w:rPr>
                <w:rFonts w:ascii="Calibri" w:hAnsi="Calibri" w:cs="Calibri"/>
                <w:color w:val="000000"/>
              </w:rPr>
              <w:t>Count of Compared Rates</w:t>
            </w:r>
          </w:p>
        </w:tc>
        <w:tc>
          <w:tcPr>
            <w:tcW w:w="6792" w:type="dxa"/>
            <w:tcMar/>
            <w:vAlign w:val="bottom"/>
          </w:tcPr>
          <w:p w:rsidR="009A6434" w:rsidP="00B22AC0" w:rsidRDefault="009A6434" w14:paraId="6060A43B" w14:textId="6961C644">
            <w:r>
              <w:rPr>
                <w:rFonts w:ascii="Calibri" w:hAnsi="Calibri" w:cs="Calibri"/>
                <w:color w:val="000000"/>
              </w:rPr>
              <w:t>Represents the number of payer plans included within deidentified ranges</w:t>
            </w:r>
          </w:p>
        </w:tc>
      </w:tr>
      <w:tr w:rsidR="009A6434" w:rsidTr="4931D6C7" w14:paraId="35CEECDD" w14:textId="77777777">
        <w:tc>
          <w:tcPr>
            <w:tcW w:w="2774" w:type="dxa"/>
            <w:tcMar/>
          </w:tcPr>
          <w:p w:rsidR="009A6434" w:rsidP="00B22AC0" w:rsidRDefault="009A6434" w14:paraId="0B951BB5" w14:textId="7F7F1069">
            <w:r>
              <w:rPr>
                <w:rFonts w:ascii="Calibri" w:hAnsi="Calibri" w:cs="Calibri"/>
                <w:color w:val="000000"/>
              </w:rPr>
              <w:t xml:space="preserve">Standard Charge | contracting method </w:t>
            </w:r>
          </w:p>
        </w:tc>
        <w:tc>
          <w:tcPr>
            <w:tcW w:w="6792" w:type="dxa"/>
            <w:tcMar/>
            <w:vAlign w:val="bottom"/>
          </w:tcPr>
          <w:p w:rsidR="009A6434" w:rsidP="00B22AC0" w:rsidRDefault="009A6434" w14:paraId="7254AF1D" w14:textId="2C3C0C66">
            <w:r>
              <w:rPr>
                <w:rFonts w:ascii="Calibri" w:hAnsi="Calibri" w:cs="Calibri"/>
                <w:color w:val="000000"/>
              </w:rPr>
              <w:t>Represents payer and billing code specific payment methodology</w:t>
            </w:r>
          </w:p>
        </w:tc>
      </w:tr>
      <w:tr w:rsidR="009A6434" w:rsidTr="4931D6C7" w14:paraId="4230051D" w14:textId="77777777">
        <w:tc>
          <w:tcPr>
            <w:tcW w:w="2774" w:type="dxa"/>
            <w:tcMar/>
          </w:tcPr>
          <w:p w:rsidR="009A6434" w:rsidP="00B22AC0" w:rsidRDefault="009A6434" w14:paraId="5E61A18A" w14:textId="177A6B3F">
            <w:r>
              <w:rPr>
                <w:rFonts w:ascii="Calibri" w:hAnsi="Calibri" w:cs="Calibri"/>
                <w:color w:val="000000"/>
              </w:rPr>
              <w:t>Additional Payer-Specific Notes</w:t>
            </w:r>
          </w:p>
        </w:tc>
        <w:tc>
          <w:tcPr>
            <w:tcW w:w="6792" w:type="dxa"/>
            <w:tcMar/>
            <w:vAlign w:val="bottom"/>
          </w:tcPr>
          <w:p w:rsidR="009A6434" w:rsidP="00B22AC0" w:rsidRDefault="009A6434" w14:paraId="627F215E" w14:textId="4E710D54">
            <w:r>
              <w:rPr>
                <w:rFonts w:ascii="Calibri" w:hAnsi="Calibri" w:cs="Calibri"/>
                <w:color w:val="000000"/>
              </w:rPr>
              <w:t>Additional information supporting negotiated dollars</w:t>
            </w:r>
          </w:p>
        </w:tc>
      </w:tr>
      <w:tr w:rsidR="009A6434" w:rsidTr="4931D6C7" w14:paraId="68C665D5" w14:textId="77777777">
        <w:tc>
          <w:tcPr>
            <w:tcW w:w="2774" w:type="dxa"/>
            <w:tcMar/>
          </w:tcPr>
          <w:p w:rsidR="009A6434" w:rsidP="00B22AC0" w:rsidRDefault="009A6434" w14:paraId="47410DF0" w14:textId="24A0BDAF">
            <w:r>
              <w:rPr>
                <w:rFonts w:ascii="Calibri" w:hAnsi="Calibri" w:cs="Calibri"/>
                <w:color w:val="000000"/>
              </w:rPr>
              <w:lastRenderedPageBreak/>
              <w:t>Additional Generic Notes -</w:t>
            </w:r>
          </w:p>
        </w:tc>
        <w:tc>
          <w:tcPr>
            <w:tcW w:w="6792" w:type="dxa"/>
            <w:tcMar/>
            <w:vAlign w:val="bottom"/>
          </w:tcPr>
          <w:p w:rsidR="009A6434" w:rsidP="00B22AC0" w:rsidRDefault="009A6434" w14:paraId="25C09950" w14:textId="4599A5A3">
            <w:r>
              <w:rPr>
                <w:rFonts w:ascii="Calibri" w:hAnsi="Calibri" w:cs="Calibri"/>
                <w:color w:val="000000"/>
              </w:rPr>
              <w:t>Footnotes referenced as 1-12</w:t>
            </w:r>
          </w:p>
        </w:tc>
      </w:tr>
      <w:tr w:rsidR="009A6434" w:rsidTr="4931D6C7" w14:paraId="2BC398D6" w14:textId="77777777">
        <w:trPr>
          <w:trHeight w:val="70"/>
        </w:trPr>
        <w:tc>
          <w:tcPr>
            <w:tcW w:w="2774" w:type="dxa"/>
            <w:tcMar/>
          </w:tcPr>
          <w:p w:rsidR="009A6434" w:rsidP="00B22AC0" w:rsidRDefault="009A6434" w14:paraId="2F1C9A94" w14:textId="292ACDCE">
            <w:pPr>
              <w:tabs>
                <w:tab w:val="left" w:pos="3585"/>
              </w:tabs>
            </w:pPr>
            <w:r>
              <w:rPr>
                <w:rFonts w:ascii="Calibri" w:hAnsi="Calibri" w:cs="Calibri"/>
                <w:color w:val="000000"/>
              </w:rPr>
              <w:t xml:space="preserve">Standard Charge | max </w:t>
            </w:r>
          </w:p>
        </w:tc>
        <w:tc>
          <w:tcPr>
            <w:tcW w:w="6792" w:type="dxa"/>
            <w:tcMar/>
            <w:vAlign w:val="bottom"/>
          </w:tcPr>
          <w:p w:rsidR="009A6434" w:rsidP="00B22AC0" w:rsidRDefault="009A6434" w14:paraId="7762FE52" w14:textId="66A0C3BA">
            <w:pPr>
              <w:tabs>
                <w:tab w:val="left" w:pos="3585"/>
              </w:tabs>
            </w:pPr>
            <w:r>
              <w:rPr>
                <w:rFonts w:ascii="Calibri" w:hAnsi="Calibri" w:cs="Calibri"/>
                <w:color w:val="000000"/>
              </w:rPr>
              <w:t>Represents the highest negotiated rate for payors with "like" base payment methodologies</w:t>
            </w:r>
          </w:p>
        </w:tc>
      </w:tr>
      <w:tr w:rsidR="009A6434" w:rsidTr="4931D6C7" w14:paraId="034ADD62" w14:textId="77777777">
        <w:tc>
          <w:tcPr>
            <w:tcW w:w="2774" w:type="dxa"/>
            <w:tcMar/>
          </w:tcPr>
          <w:p w:rsidR="009A6434" w:rsidP="00B22AC0" w:rsidRDefault="009A6434" w14:paraId="09CB05C3" w14:textId="3405687A">
            <w:pPr>
              <w:tabs>
                <w:tab w:val="left" w:pos="3585"/>
              </w:tabs>
            </w:pPr>
            <w:r>
              <w:rPr>
                <w:rFonts w:ascii="Calibri" w:hAnsi="Calibri" w:cs="Calibri"/>
                <w:color w:val="000000"/>
              </w:rPr>
              <w:t>Count of Compared Rates</w:t>
            </w:r>
          </w:p>
        </w:tc>
        <w:tc>
          <w:tcPr>
            <w:tcW w:w="6792" w:type="dxa"/>
            <w:tcMar/>
            <w:vAlign w:val="bottom"/>
          </w:tcPr>
          <w:p w:rsidR="009A6434" w:rsidP="00B22AC0" w:rsidRDefault="009A6434" w14:paraId="4CA8D046" w14:textId="26380B2A">
            <w:pPr>
              <w:tabs>
                <w:tab w:val="left" w:pos="3585"/>
              </w:tabs>
            </w:pPr>
            <w:r>
              <w:rPr>
                <w:rFonts w:ascii="Calibri" w:hAnsi="Calibri" w:cs="Calibri"/>
                <w:color w:val="000000"/>
              </w:rPr>
              <w:t>Represents the number of payer plans included within deidentified ranges</w:t>
            </w:r>
          </w:p>
        </w:tc>
      </w:tr>
      <w:tr w:rsidR="009A6434" w:rsidTr="4931D6C7" w14:paraId="11D76430" w14:textId="77777777">
        <w:tc>
          <w:tcPr>
            <w:tcW w:w="2774" w:type="dxa"/>
            <w:tcMar/>
          </w:tcPr>
          <w:p w:rsidR="009A6434" w:rsidP="00B22AC0" w:rsidRDefault="009A6434" w14:paraId="6A1BA4CF" w14:textId="770F78B4">
            <w:pPr>
              <w:tabs>
                <w:tab w:val="left" w:pos="3585"/>
              </w:tabs>
            </w:pPr>
            <w:r>
              <w:rPr>
                <w:rFonts w:ascii="Calibri" w:hAnsi="Calibri" w:cs="Calibri"/>
                <w:color w:val="000000"/>
              </w:rPr>
              <w:t>Standard Charge | Contracting Method</w:t>
            </w:r>
          </w:p>
        </w:tc>
        <w:tc>
          <w:tcPr>
            <w:tcW w:w="6792" w:type="dxa"/>
            <w:tcMar/>
            <w:vAlign w:val="bottom"/>
          </w:tcPr>
          <w:p w:rsidR="009A6434" w:rsidP="00B22AC0" w:rsidRDefault="009A6434" w14:paraId="418E797C" w14:textId="63F563CB">
            <w:pPr>
              <w:tabs>
                <w:tab w:val="left" w:pos="3585"/>
              </w:tabs>
            </w:pPr>
            <w:r>
              <w:rPr>
                <w:rFonts w:ascii="Calibri" w:hAnsi="Calibri" w:cs="Calibri"/>
                <w:color w:val="000000"/>
              </w:rPr>
              <w:t>Represents payer and billing code specific payment methodology</w:t>
            </w:r>
          </w:p>
        </w:tc>
      </w:tr>
      <w:tr w:rsidR="009A6434" w:rsidTr="4931D6C7" w14:paraId="7AB5C7D7" w14:textId="77777777">
        <w:tc>
          <w:tcPr>
            <w:tcW w:w="2774" w:type="dxa"/>
            <w:tcMar/>
          </w:tcPr>
          <w:p w:rsidR="009A6434" w:rsidP="00B22AC0" w:rsidRDefault="009A6434" w14:paraId="0F2B4C9F" w14:textId="6939F3E5">
            <w:pPr>
              <w:tabs>
                <w:tab w:val="left" w:pos="3585"/>
              </w:tabs>
            </w:pPr>
            <w:r>
              <w:rPr>
                <w:rFonts w:ascii="Calibri" w:hAnsi="Calibri" w:cs="Calibri"/>
                <w:color w:val="000000"/>
              </w:rPr>
              <w:t>Additional Payer-Specific Notes</w:t>
            </w:r>
          </w:p>
        </w:tc>
        <w:tc>
          <w:tcPr>
            <w:tcW w:w="6792" w:type="dxa"/>
            <w:tcMar/>
            <w:vAlign w:val="bottom"/>
          </w:tcPr>
          <w:p w:rsidR="009A6434" w:rsidP="00B22AC0" w:rsidRDefault="009A6434" w14:paraId="0B2738AC" w14:textId="3205F139">
            <w:pPr>
              <w:tabs>
                <w:tab w:val="left" w:pos="3585"/>
              </w:tabs>
            </w:pPr>
            <w:r>
              <w:rPr>
                <w:rFonts w:ascii="Calibri" w:hAnsi="Calibri" w:cs="Calibri"/>
                <w:color w:val="000000"/>
              </w:rPr>
              <w:t>Additional information supporting negotiated dollars</w:t>
            </w:r>
          </w:p>
        </w:tc>
      </w:tr>
      <w:tr w:rsidR="009A6434" w:rsidTr="4931D6C7" w14:paraId="204919E7" w14:textId="77777777">
        <w:tc>
          <w:tcPr>
            <w:tcW w:w="2774" w:type="dxa"/>
            <w:tcMar/>
          </w:tcPr>
          <w:p w:rsidR="009A6434" w:rsidP="00B22AC0" w:rsidRDefault="009A6434" w14:paraId="2AC08D80" w14:textId="1511B3A8">
            <w:pPr>
              <w:tabs>
                <w:tab w:val="left" w:pos="3585"/>
              </w:tabs>
            </w:pPr>
            <w:r>
              <w:rPr>
                <w:rFonts w:ascii="Calibri" w:hAnsi="Calibri" w:cs="Calibri"/>
                <w:color w:val="000000"/>
              </w:rPr>
              <w:t>Additional Generic Notes</w:t>
            </w:r>
          </w:p>
        </w:tc>
        <w:tc>
          <w:tcPr>
            <w:tcW w:w="6792" w:type="dxa"/>
            <w:tcMar/>
            <w:vAlign w:val="bottom"/>
          </w:tcPr>
          <w:p w:rsidR="009A6434" w:rsidP="00B22AC0" w:rsidRDefault="009A6434" w14:paraId="38012DDC" w14:textId="44230A60">
            <w:pPr>
              <w:tabs>
                <w:tab w:val="left" w:pos="3585"/>
              </w:tabs>
            </w:pPr>
            <w:r>
              <w:rPr>
                <w:rFonts w:ascii="Calibri" w:hAnsi="Calibri" w:cs="Calibri"/>
                <w:color w:val="000000"/>
              </w:rPr>
              <w:t>Footnotes referenced as 1-12</w:t>
            </w:r>
          </w:p>
        </w:tc>
      </w:tr>
      <w:tr w:rsidR="009A6434" w:rsidTr="4931D6C7" w14:paraId="1DA9EBCA" w14:textId="77777777">
        <w:tc>
          <w:tcPr>
            <w:tcW w:w="2774" w:type="dxa"/>
            <w:tcMar/>
          </w:tcPr>
          <w:p w:rsidR="009A6434" w:rsidP="00B22AC0" w:rsidRDefault="009A6434" w14:paraId="2F73899D" w14:textId="7DCE0087">
            <w:pPr>
              <w:tabs>
                <w:tab w:val="left" w:pos="3585"/>
              </w:tabs>
            </w:pPr>
            <w:r>
              <w:rPr>
                <w:rFonts w:ascii="Calibri" w:hAnsi="Calibri" w:cs="Calibri"/>
                <w:color w:val="000000"/>
              </w:rPr>
              <w:t>Standard Charge | contracting method</w:t>
            </w:r>
          </w:p>
        </w:tc>
        <w:tc>
          <w:tcPr>
            <w:tcW w:w="6792" w:type="dxa"/>
            <w:tcMar/>
            <w:vAlign w:val="bottom"/>
          </w:tcPr>
          <w:p w:rsidR="009A6434" w:rsidP="00B22AC0" w:rsidRDefault="009A6434" w14:paraId="7E730594" w14:textId="666EBF6C">
            <w:pPr>
              <w:tabs>
                <w:tab w:val="left" w:pos="3585"/>
              </w:tabs>
            </w:pPr>
            <w:r>
              <w:rPr>
                <w:rFonts w:ascii="Calibri" w:hAnsi="Calibri" w:cs="Calibri"/>
                <w:color w:val="000000"/>
              </w:rPr>
              <w:t>Represents payer and billing code specific payment methodology</w:t>
            </w:r>
          </w:p>
        </w:tc>
      </w:tr>
    </w:tbl>
    <w:p w:rsidR="00B22AC0" w:rsidP="00B22AC0" w:rsidRDefault="00B22AC0" w14:paraId="21458ACE" w14:textId="77777777">
      <w:pPr>
        <w:tabs>
          <w:tab w:val="left" w:pos="3585"/>
        </w:tabs>
      </w:pPr>
      <w:r>
        <w:tab/>
      </w:r>
    </w:p>
    <w:p w:rsidR="00B21889" w:rsidP="00233154" w:rsidRDefault="00B21889" w14:paraId="029392BE" w14:textId="5C28B8C7">
      <w:pPr>
        <w:pStyle w:val="NoSpacing"/>
      </w:pPr>
    </w:p>
    <w:p w:rsidR="00233154" w:rsidP="00233154" w:rsidRDefault="00233154" w14:paraId="5BB348A4" w14:textId="77777777">
      <w:pPr>
        <w:pStyle w:val="NoSpacing"/>
        <w:rPr>
          <w:b/>
          <w:bCs/>
        </w:rPr>
      </w:pPr>
      <w:r>
        <w:rPr>
          <w:b/>
          <w:bCs/>
        </w:rPr>
        <w:t>Footnotes:</w:t>
      </w:r>
    </w:p>
    <w:tbl>
      <w:tblPr>
        <w:tblW w:w="0" w:type="auto"/>
        <w:tblCellMar>
          <w:left w:w="0" w:type="dxa"/>
          <w:right w:w="0" w:type="dxa"/>
        </w:tblCellMar>
        <w:tblLook w:val="04A0" w:firstRow="1" w:lastRow="0" w:firstColumn="1" w:lastColumn="0" w:noHBand="0" w:noVBand="1"/>
      </w:tblPr>
      <w:tblGrid>
        <w:gridCol w:w="2062"/>
        <w:gridCol w:w="7560"/>
      </w:tblGrid>
      <w:tr w:rsidR="00233154" w:rsidTr="0063543A" w14:paraId="696447E4" w14:textId="77777777">
        <w:trPr>
          <w:trHeight w:val="187"/>
        </w:trPr>
        <w:tc>
          <w:tcPr>
            <w:tcW w:w="2062"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hideMark/>
          </w:tcPr>
          <w:p w:rsidR="00233154" w:rsidRDefault="00233154" w14:paraId="07F6A3CF" w14:textId="77777777">
            <w:pPr>
              <w:rPr>
                <w:b/>
                <w:bCs/>
              </w:rPr>
            </w:pPr>
            <w:r>
              <w:rPr>
                <w:b/>
                <w:bCs/>
              </w:rPr>
              <w:t>Foot note number</w:t>
            </w:r>
          </w:p>
        </w:tc>
        <w:tc>
          <w:tcPr>
            <w:tcW w:w="75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hideMark/>
          </w:tcPr>
          <w:p w:rsidR="00233154" w:rsidP="00233154" w:rsidRDefault="00233154" w14:paraId="1BF6E2B7" w14:textId="7B850CB9">
            <w:pPr>
              <w:rPr>
                <w:b/>
                <w:bCs/>
              </w:rPr>
            </w:pPr>
            <w:r>
              <w:rPr>
                <w:b/>
                <w:bCs/>
              </w:rPr>
              <w:t>Description</w:t>
            </w:r>
          </w:p>
        </w:tc>
      </w:tr>
      <w:tr w:rsidR="00233154" w:rsidTr="0063543A" w14:paraId="58CB0B19" w14:textId="77777777">
        <w:tc>
          <w:tcPr>
            <w:tcW w:w="206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rsidR="00233154" w:rsidP="00233154" w:rsidRDefault="00233154" w14:paraId="4726E59F" w14:textId="1C234966">
            <w:pPr>
              <w:jc w:val="center"/>
            </w:pPr>
            <w:r>
              <w:rPr>
                <w:rFonts w:ascii="Calibri" w:hAnsi="Calibri" w:cs="Calibri"/>
                <w:color w:val="000000"/>
              </w:rPr>
              <w:t>1</w:t>
            </w:r>
          </w:p>
        </w:tc>
        <w:tc>
          <w:tcPr>
            <w:tcW w:w="7560" w:type="dxa"/>
            <w:tcBorders>
              <w:top w:val="nil"/>
              <w:left w:val="nil"/>
              <w:bottom w:val="single" w:color="auto" w:sz="8" w:space="0"/>
              <w:right w:val="single" w:color="auto" w:sz="8" w:space="0"/>
            </w:tcBorders>
            <w:tcMar>
              <w:top w:w="0" w:type="dxa"/>
              <w:left w:w="108" w:type="dxa"/>
              <w:bottom w:w="0" w:type="dxa"/>
              <w:right w:w="108" w:type="dxa"/>
            </w:tcMar>
            <w:vAlign w:val="bottom"/>
          </w:tcPr>
          <w:p w:rsidR="00233154" w:rsidP="00233154" w:rsidRDefault="00233154" w14:paraId="3A43DEE7" w14:textId="27524CE4">
            <w:r>
              <w:rPr>
                <w:rFonts w:ascii="Calibri" w:hAnsi="Calibri" w:cs="Calibri"/>
                <w:color w:val="000000"/>
              </w:rPr>
              <w:t>Can be subject to stoploss provisions</w:t>
            </w:r>
          </w:p>
        </w:tc>
      </w:tr>
      <w:tr w:rsidR="00233154" w:rsidTr="0063543A" w14:paraId="2B105DE7" w14:textId="77777777">
        <w:tc>
          <w:tcPr>
            <w:tcW w:w="206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rsidR="00233154" w:rsidP="00233154" w:rsidRDefault="00233154" w14:paraId="0075AD5B" w14:textId="10C38F52">
            <w:pPr>
              <w:jc w:val="center"/>
            </w:pPr>
            <w:r>
              <w:rPr>
                <w:rFonts w:ascii="Calibri" w:hAnsi="Calibri" w:cs="Calibri"/>
                <w:color w:val="000000"/>
              </w:rPr>
              <w:t>2</w:t>
            </w:r>
          </w:p>
        </w:tc>
        <w:tc>
          <w:tcPr>
            <w:tcW w:w="7560" w:type="dxa"/>
            <w:tcBorders>
              <w:top w:val="nil"/>
              <w:left w:val="nil"/>
              <w:bottom w:val="single" w:color="auto" w:sz="8" w:space="0"/>
              <w:right w:val="single" w:color="auto" w:sz="8" w:space="0"/>
            </w:tcBorders>
            <w:tcMar>
              <w:top w:w="0" w:type="dxa"/>
              <w:left w:w="108" w:type="dxa"/>
              <w:bottom w:w="0" w:type="dxa"/>
              <w:right w:w="108" w:type="dxa"/>
            </w:tcMar>
            <w:vAlign w:val="bottom"/>
          </w:tcPr>
          <w:p w:rsidR="00233154" w:rsidP="00233154" w:rsidRDefault="00233154" w14:paraId="3D88256B" w14:textId="1B5C8C24">
            <w:r>
              <w:rPr>
                <w:rFonts w:ascii="Calibri" w:hAnsi="Calibri" w:cs="Calibri"/>
                <w:color w:val="000000"/>
              </w:rPr>
              <w:t>Can be subject to lesser of provisions</w:t>
            </w:r>
          </w:p>
        </w:tc>
      </w:tr>
      <w:tr w:rsidR="00233154" w:rsidTr="0063543A" w14:paraId="1E86F301" w14:textId="77777777">
        <w:tc>
          <w:tcPr>
            <w:tcW w:w="206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rsidR="00233154" w:rsidP="00233154" w:rsidRDefault="00233154" w14:paraId="2DEF38AB" w14:textId="395DF848">
            <w:pPr>
              <w:jc w:val="center"/>
            </w:pPr>
            <w:r>
              <w:rPr>
                <w:rFonts w:ascii="Calibri" w:hAnsi="Calibri" w:cs="Calibri"/>
                <w:color w:val="000000"/>
              </w:rPr>
              <w:t>3</w:t>
            </w:r>
          </w:p>
        </w:tc>
        <w:tc>
          <w:tcPr>
            <w:tcW w:w="7560" w:type="dxa"/>
            <w:tcBorders>
              <w:top w:val="nil"/>
              <w:left w:val="nil"/>
              <w:bottom w:val="single" w:color="auto" w:sz="8" w:space="0"/>
              <w:right w:val="single" w:color="auto" w:sz="8" w:space="0"/>
            </w:tcBorders>
            <w:tcMar>
              <w:top w:w="0" w:type="dxa"/>
              <w:left w:w="108" w:type="dxa"/>
              <w:bottom w:w="0" w:type="dxa"/>
              <w:right w:w="108" w:type="dxa"/>
            </w:tcMar>
            <w:vAlign w:val="bottom"/>
          </w:tcPr>
          <w:p w:rsidR="00233154" w:rsidP="00233154" w:rsidRDefault="00233154" w14:paraId="4D5DB21D" w14:textId="4878F53A">
            <w:r>
              <w:rPr>
                <w:rFonts w:ascii="Calibri" w:hAnsi="Calibri" w:cs="Calibri"/>
                <w:color w:val="000000"/>
              </w:rPr>
              <w:t>Can be subject to carve out provisions</w:t>
            </w:r>
          </w:p>
        </w:tc>
      </w:tr>
      <w:tr w:rsidR="00233154" w:rsidTr="0063543A" w14:paraId="30C1C086" w14:textId="77777777">
        <w:tc>
          <w:tcPr>
            <w:tcW w:w="206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rsidR="00233154" w:rsidP="00233154" w:rsidRDefault="00233154" w14:paraId="6D96D143" w14:textId="650AC489">
            <w:pPr>
              <w:jc w:val="center"/>
            </w:pPr>
            <w:r>
              <w:rPr>
                <w:rFonts w:ascii="Calibri" w:hAnsi="Calibri" w:cs="Calibri"/>
                <w:color w:val="000000"/>
              </w:rPr>
              <w:t>4</w:t>
            </w:r>
          </w:p>
        </w:tc>
        <w:tc>
          <w:tcPr>
            <w:tcW w:w="7560" w:type="dxa"/>
            <w:tcBorders>
              <w:top w:val="nil"/>
              <w:left w:val="nil"/>
              <w:bottom w:val="single" w:color="auto" w:sz="8" w:space="0"/>
              <w:right w:val="single" w:color="auto" w:sz="8" w:space="0"/>
            </w:tcBorders>
            <w:tcMar>
              <w:top w:w="0" w:type="dxa"/>
              <w:left w:w="108" w:type="dxa"/>
              <w:bottom w:w="0" w:type="dxa"/>
              <w:right w:w="108" w:type="dxa"/>
            </w:tcMar>
            <w:vAlign w:val="bottom"/>
          </w:tcPr>
          <w:p w:rsidR="00233154" w:rsidP="00233154" w:rsidRDefault="00233154" w14:paraId="4DE6F7EB" w14:textId="63649C18">
            <w:r>
              <w:rPr>
                <w:rFonts w:ascii="Calibri" w:hAnsi="Calibri" w:cs="Calibri"/>
                <w:color w:val="000000"/>
              </w:rPr>
              <w:t>Can be subject to multiple procedure discounting provisions</w:t>
            </w:r>
          </w:p>
        </w:tc>
      </w:tr>
      <w:tr w:rsidR="00233154" w:rsidTr="0063543A" w14:paraId="07818907" w14:textId="77777777">
        <w:tc>
          <w:tcPr>
            <w:tcW w:w="206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rsidR="00233154" w:rsidP="00233154" w:rsidRDefault="00233154" w14:paraId="14039978" w14:textId="6922A890">
            <w:pPr>
              <w:jc w:val="center"/>
            </w:pPr>
            <w:r>
              <w:rPr>
                <w:rFonts w:ascii="Calibri" w:hAnsi="Calibri" w:cs="Calibri"/>
                <w:color w:val="000000"/>
              </w:rPr>
              <w:t>5</w:t>
            </w:r>
          </w:p>
        </w:tc>
        <w:tc>
          <w:tcPr>
            <w:tcW w:w="7560" w:type="dxa"/>
            <w:tcBorders>
              <w:top w:val="nil"/>
              <w:left w:val="nil"/>
              <w:bottom w:val="single" w:color="auto" w:sz="8" w:space="0"/>
              <w:right w:val="single" w:color="auto" w:sz="8" w:space="0"/>
            </w:tcBorders>
            <w:tcMar>
              <w:top w:w="0" w:type="dxa"/>
              <w:left w:w="108" w:type="dxa"/>
              <w:bottom w:w="0" w:type="dxa"/>
              <w:right w:w="108" w:type="dxa"/>
            </w:tcMar>
            <w:vAlign w:val="bottom"/>
          </w:tcPr>
          <w:p w:rsidR="00233154" w:rsidP="00233154" w:rsidRDefault="00233154" w14:paraId="69233A54" w14:textId="25C51F62">
            <w:r>
              <w:rPr>
                <w:rFonts w:ascii="Calibri" w:hAnsi="Calibri" w:cs="Calibri"/>
                <w:color w:val="000000"/>
              </w:rPr>
              <w:t>Can be subject to additional per diem in excess of included days</w:t>
            </w:r>
          </w:p>
        </w:tc>
      </w:tr>
      <w:tr w:rsidR="00233154" w:rsidTr="0063543A" w14:paraId="0414C16D" w14:textId="77777777">
        <w:tc>
          <w:tcPr>
            <w:tcW w:w="206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rsidR="00233154" w:rsidP="00233154" w:rsidRDefault="00233154" w14:paraId="0F728339" w14:textId="71A9929F">
            <w:pPr>
              <w:jc w:val="center"/>
            </w:pPr>
            <w:r>
              <w:rPr>
                <w:rFonts w:ascii="Calibri" w:hAnsi="Calibri" w:cs="Calibri"/>
                <w:color w:val="000000"/>
              </w:rPr>
              <w:t>6</w:t>
            </w:r>
          </w:p>
        </w:tc>
        <w:tc>
          <w:tcPr>
            <w:tcW w:w="7560" w:type="dxa"/>
            <w:tcBorders>
              <w:top w:val="nil"/>
              <w:left w:val="nil"/>
              <w:bottom w:val="single" w:color="auto" w:sz="8" w:space="0"/>
              <w:right w:val="single" w:color="auto" w:sz="8" w:space="0"/>
            </w:tcBorders>
            <w:tcMar>
              <w:top w:w="0" w:type="dxa"/>
              <w:left w:w="108" w:type="dxa"/>
              <w:bottom w:w="0" w:type="dxa"/>
              <w:right w:w="108" w:type="dxa"/>
            </w:tcMar>
            <w:vAlign w:val="bottom"/>
          </w:tcPr>
          <w:p w:rsidR="00233154" w:rsidP="00233154" w:rsidRDefault="00233154" w14:paraId="3720E598" w14:textId="1651C434">
            <w:r>
              <w:rPr>
                <w:rFonts w:ascii="Calibri" w:hAnsi="Calibri" w:cs="Calibri"/>
                <w:color w:val="000000"/>
              </w:rPr>
              <w:t>Can be subject to separate per diem based on day of stay</w:t>
            </w:r>
          </w:p>
        </w:tc>
      </w:tr>
      <w:tr w:rsidR="00233154" w:rsidTr="0063543A" w14:paraId="28E080E1" w14:textId="77777777">
        <w:tc>
          <w:tcPr>
            <w:tcW w:w="206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rsidR="00233154" w:rsidP="00233154" w:rsidRDefault="00233154" w14:paraId="2B4D37D5" w14:textId="116AD6B3">
            <w:pPr>
              <w:jc w:val="center"/>
            </w:pPr>
            <w:r>
              <w:rPr>
                <w:rFonts w:ascii="Calibri" w:hAnsi="Calibri" w:cs="Calibri"/>
                <w:color w:val="000000"/>
              </w:rPr>
              <w:t>7</w:t>
            </w:r>
          </w:p>
        </w:tc>
        <w:tc>
          <w:tcPr>
            <w:tcW w:w="7560" w:type="dxa"/>
            <w:tcBorders>
              <w:top w:val="nil"/>
              <w:left w:val="nil"/>
              <w:bottom w:val="single" w:color="auto" w:sz="8" w:space="0"/>
              <w:right w:val="single" w:color="auto" w:sz="8" w:space="0"/>
            </w:tcBorders>
            <w:tcMar>
              <w:top w:w="0" w:type="dxa"/>
              <w:left w:w="108" w:type="dxa"/>
              <w:bottom w:w="0" w:type="dxa"/>
              <w:right w:w="108" w:type="dxa"/>
            </w:tcMar>
            <w:vAlign w:val="bottom"/>
          </w:tcPr>
          <w:p w:rsidR="00233154" w:rsidP="00233154" w:rsidRDefault="00233154" w14:paraId="4C63B9EC" w14:textId="59E0AAF2">
            <w:r>
              <w:rPr>
                <w:rFonts w:ascii="Calibri" w:hAnsi="Calibri" w:cs="Calibri"/>
                <w:color w:val="000000"/>
              </w:rPr>
              <w:t>Line item charges and subsequent payments can be subject to service bundling. For example, items with a negotiated rate of 0 or blank.</w:t>
            </w:r>
          </w:p>
        </w:tc>
      </w:tr>
      <w:tr w:rsidR="00233154" w:rsidTr="0063543A" w14:paraId="5654196B" w14:textId="77777777">
        <w:tc>
          <w:tcPr>
            <w:tcW w:w="206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rsidR="00233154" w:rsidP="00233154" w:rsidRDefault="00233154" w14:paraId="47BD1207" w14:textId="4ABB4B19">
            <w:pPr>
              <w:jc w:val="center"/>
            </w:pPr>
            <w:r>
              <w:rPr>
                <w:rFonts w:ascii="Calibri" w:hAnsi="Calibri" w:cs="Calibri"/>
                <w:color w:val="000000"/>
              </w:rPr>
              <w:t>8</w:t>
            </w:r>
          </w:p>
        </w:tc>
        <w:tc>
          <w:tcPr>
            <w:tcW w:w="7560" w:type="dxa"/>
            <w:tcBorders>
              <w:top w:val="nil"/>
              <w:left w:val="nil"/>
              <w:bottom w:val="single" w:color="auto" w:sz="8" w:space="0"/>
              <w:right w:val="single" w:color="auto" w:sz="8" w:space="0"/>
            </w:tcBorders>
            <w:tcMar>
              <w:top w:w="0" w:type="dxa"/>
              <w:left w:w="108" w:type="dxa"/>
              <w:bottom w:w="0" w:type="dxa"/>
              <w:right w:w="108" w:type="dxa"/>
            </w:tcMar>
            <w:vAlign w:val="bottom"/>
          </w:tcPr>
          <w:p w:rsidR="00233154" w:rsidP="00233154" w:rsidRDefault="00233154" w14:paraId="3B696BAA" w14:textId="1B0AFEA0">
            <w:r>
              <w:rPr>
                <w:rFonts w:ascii="Calibri" w:hAnsi="Calibri" w:cs="Calibri"/>
                <w:color w:val="000000"/>
              </w:rPr>
              <w:t>In these circumstances, the service may be packaged/bundled into a separate rate or priced through a separate carrier where the rate was not available.</w:t>
            </w:r>
          </w:p>
        </w:tc>
      </w:tr>
      <w:tr w:rsidR="00233154" w:rsidTr="0063543A" w14:paraId="594B7C88" w14:textId="77777777">
        <w:tc>
          <w:tcPr>
            <w:tcW w:w="206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rsidR="00233154" w:rsidP="00233154" w:rsidRDefault="00233154" w14:paraId="736014B4" w14:textId="0E3CCF28">
            <w:pPr>
              <w:jc w:val="center"/>
            </w:pPr>
            <w:r>
              <w:rPr>
                <w:rFonts w:ascii="Calibri" w:hAnsi="Calibri" w:cs="Calibri"/>
                <w:color w:val="000000"/>
              </w:rPr>
              <w:t>9</w:t>
            </w:r>
          </w:p>
        </w:tc>
        <w:tc>
          <w:tcPr>
            <w:tcW w:w="7560" w:type="dxa"/>
            <w:tcBorders>
              <w:top w:val="nil"/>
              <w:left w:val="nil"/>
              <w:bottom w:val="single" w:color="auto" w:sz="8" w:space="0"/>
              <w:right w:val="single" w:color="auto" w:sz="8" w:space="0"/>
            </w:tcBorders>
            <w:tcMar>
              <w:top w:w="0" w:type="dxa"/>
              <w:left w:w="108" w:type="dxa"/>
              <w:bottom w:w="0" w:type="dxa"/>
              <w:right w:w="108" w:type="dxa"/>
            </w:tcMar>
            <w:vAlign w:val="bottom"/>
          </w:tcPr>
          <w:p w:rsidR="00233154" w:rsidP="00233154" w:rsidRDefault="00233154" w14:paraId="480740BD" w14:textId="0FD70B82">
            <w:r>
              <w:rPr>
                <w:rFonts w:ascii="Calibri" w:hAnsi="Calibri" w:cs="Calibri"/>
                <w:color w:val="000000"/>
              </w:rPr>
              <w:t>Modifiers may result in a payment adjustment from the base rate.</w:t>
            </w:r>
          </w:p>
        </w:tc>
      </w:tr>
      <w:tr w:rsidR="00233154" w:rsidTr="0063543A" w14:paraId="30B5657E" w14:textId="77777777">
        <w:trPr>
          <w:trHeight w:val="718"/>
        </w:trPr>
        <w:tc>
          <w:tcPr>
            <w:tcW w:w="206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rsidR="00233154" w:rsidP="00233154" w:rsidRDefault="00233154" w14:paraId="3FF5607F" w14:textId="4DE3F989">
            <w:pPr>
              <w:jc w:val="center"/>
            </w:pPr>
            <w:r>
              <w:rPr>
                <w:rFonts w:ascii="Calibri" w:hAnsi="Calibri" w:cs="Calibri"/>
                <w:color w:val="000000"/>
              </w:rPr>
              <w:t>10</w:t>
            </w:r>
          </w:p>
        </w:tc>
        <w:tc>
          <w:tcPr>
            <w:tcW w:w="7560" w:type="dxa"/>
            <w:tcBorders>
              <w:top w:val="nil"/>
              <w:left w:val="nil"/>
              <w:bottom w:val="single" w:color="auto" w:sz="8" w:space="0"/>
              <w:right w:val="single" w:color="auto" w:sz="8" w:space="0"/>
            </w:tcBorders>
            <w:tcMar>
              <w:top w:w="0" w:type="dxa"/>
              <w:left w:w="108" w:type="dxa"/>
              <w:bottom w:w="0" w:type="dxa"/>
              <w:right w:w="108" w:type="dxa"/>
            </w:tcMar>
            <w:vAlign w:val="bottom"/>
          </w:tcPr>
          <w:p w:rsidR="00233154" w:rsidP="00233154" w:rsidRDefault="00233154" w14:paraId="4383C1FA" w14:textId="47E1235D">
            <w:r>
              <w:rPr>
                <w:rFonts w:ascii="Calibri" w:hAnsi="Calibri" w:cs="Calibri"/>
                <w:color w:val="000000"/>
              </w:rPr>
              <w:t>Percent rate is limited by maximum value, but this maximum can be exceeded by other provisions</w:t>
            </w:r>
          </w:p>
        </w:tc>
      </w:tr>
      <w:tr w:rsidR="00233154" w:rsidTr="0063543A" w14:paraId="0C87C550" w14:textId="77777777">
        <w:tc>
          <w:tcPr>
            <w:tcW w:w="206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rsidRPr="00233154" w:rsidR="00233154" w:rsidP="00233154" w:rsidRDefault="00233154" w14:paraId="0581B531" w14:textId="35F239B3">
            <w:pPr>
              <w:jc w:val="center"/>
              <w:rPr>
                <w:rFonts w:ascii="Calibri" w:hAnsi="Calibri" w:cs="Calibri"/>
                <w:color w:val="000000"/>
              </w:rPr>
            </w:pPr>
            <w:r>
              <w:rPr>
                <w:rFonts w:ascii="Calibri" w:hAnsi="Calibri" w:cs="Calibri"/>
                <w:color w:val="000000"/>
              </w:rPr>
              <w:t>11</w:t>
            </w:r>
          </w:p>
        </w:tc>
        <w:tc>
          <w:tcPr>
            <w:tcW w:w="7560" w:type="dxa"/>
            <w:tcBorders>
              <w:top w:val="nil"/>
              <w:left w:val="nil"/>
              <w:bottom w:val="single" w:color="auto" w:sz="8" w:space="0"/>
              <w:right w:val="single" w:color="auto" w:sz="8" w:space="0"/>
            </w:tcBorders>
            <w:tcMar>
              <w:top w:w="0" w:type="dxa"/>
              <w:left w:w="108" w:type="dxa"/>
              <w:bottom w:w="0" w:type="dxa"/>
              <w:right w:w="108" w:type="dxa"/>
            </w:tcMar>
            <w:vAlign w:val="bottom"/>
          </w:tcPr>
          <w:p w:rsidR="00233154" w:rsidP="00233154" w:rsidRDefault="00233154" w14:paraId="5C10D352" w14:textId="231675E9">
            <w:r>
              <w:rPr>
                <w:rFonts w:ascii="Calibri" w:hAnsi="Calibri" w:cs="Calibri"/>
                <w:color w:val="000000"/>
              </w:rPr>
              <w:t xml:space="preserve">Items at 0 or .01 price may be billed out of another system or at time the bill is dropped. </w:t>
            </w:r>
          </w:p>
        </w:tc>
      </w:tr>
      <w:tr w:rsidR="00233154" w:rsidTr="0063543A" w14:paraId="4FAABA59" w14:textId="77777777">
        <w:trPr>
          <w:trHeight w:val="520"/>
        </w:trPr>
        <w:tc>
          <w:tcPr>
            <w:tcW w:w="206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rsidRPr="00233154" w:rsidR="00233154" w:rsidP="00233154" w:rsidRDefault="00233154" w14:paraId="4FA93D57" w14:textId="6D068A6F">
            <w:pPr>
              <w:jc w:val="center"/>
              <w:rPr>
                <w:rFonts w:ascii="Calibri" w:hAnsi="Calibri" w:cs="Calibri"/>
                <w:color w:val="000000"/>
              </w:rPr>
            </w:pPr>
            <w:r>
              <w:rPr>
                <w:rFonts w:ascii="Calibri" w:hAnsi="Calibri" w:cs="Calibri"/>
                <w:color w:val="000000"/>
              </w:rPr>
              <w:t>12</w:t>
            </w:r>
          </w:p>
        </w:tc>
        <w:tc>
          <w:tcPr>
            <w:tcW w:w="7560" w:type="dxa"/>
            <w:tcBorders>
              <w:top w:val="nil"/>
              <w:left w:val="nil"/>
              <w:bottom w:val="single" w:color="auto" w:sz="8" w:space="0"/>
              <w:right w:val="single" w:color="auto" w:sz="8" w:space="0"/>
            </w:tcBorders>
            <w:tcMar>
              <w:top w:w="0" w:type="dxa"/>
              <w:left w:w="108" w:type="dxa"/>
              <w:bottom w:w="0" w:type="dxa"/>
              <w:right w:w="108" w:type="dxa"/>
            </w:tcMar>
            <w:vAlign w:val="bottom"/>
          </w:tcPr>
          <w:p w:rsidR="00233154" w:rsidP="00233154" w:rsidRDefault="00233154" w14:paraId="2AA3240C" w14:textId="2FB63E4B">
            <w:r>
              <w:rPr>
                <w:rFonts w:ascii="Calibri" w:hAnsi="Calibri" w:cs="Calibri"/>
                <w:color w:val="000000"/>
              </w:rPr>
              <w:t xml:space="preserve">This code and the associated base rate </w:t>
            </w:r>
            <w:proofErr w:type="gramStart"/>
            <w:r>
              <w:rPr>
                <w:rFonts w:ascii="Calibri" w:hAnsi="Calibri" w:cs="Calibri"/>
                <w:color w:val="000000"/>
              </w:rPr>
              <w:t>is</w:t>
            </w:r>
            <w:proofErr w:type="gramEnd"/>
            <w:r>
              <w:rPr>
                <w:rFonts w:ascii="Calibri" w:hAnsi="Calibri" w:cs="Calibri"/>
                <w:color w:val="000000"/>
              </w:rPr>
              <w:t xml:space="preserve"> considered to be an all inclusive rate which may include additional clinical services</w:t>
            </w:r>
          </w:p>
        </w:tc>
      </w:tr>
    </w:tbl>
    <w:p w:rsidR="00B21889" w:rsidRDefault="00B21889" w14:paraId="2259F2F1" w14:textId="77777777"/>
    <w:p w:rsidR="008760A4" w:rsidP="00270672" w:rsidRDefault="008760A4" w14:paraId="42A413F6" w14:textId="77777777">
      <w:pPr>
        <w:pStyle w:val="NoSpacing"/>
        <w:rPr>
          <w:b/>
          <w:bCs/>
        </w:rPr>
      </w:pPr>
    </w:p>
    <w:p w:rsidR="008760A4" w:rsidP="00270672" w:rsidRDefault="008760A4" w14:paraId="01B1CBB4" w14:textId="77777777">
      <w:pPr>
        <w:pStyle w:val="NoSpacing"/>
        <w:rPr>
          <w:b/>
          <w:bCs/>
        </w:rPr>
      </w:pPr>
    </w:p>
    <w:p w:rsidR="008760A4" w:rsidP="00270672" w:rsidRDefault="008760A4" w14:paraId="66ED8876" w14:textId="77777777">
      <w:pPr>
        <w:pStyle w:val="NoSpacing"/>
        <w:rPr>
          <w:b/>
          <w:bCs/>
        </w:rPr>
      </w:pPr>
    </w:p>
    <w:p w:rsidR="009A6434" w:rsidP="00270672" w:rsidRDefault="009A6434" w14:paraId="0F234565" w14:textId="77777777">
      <w:pPr>
        <w:pStyle w:val="NoSpacing"/>
        <w:rPr>
          <w:b/>
          <w:bCs/>
        </w:rPr>
      </w:pPr>
    </w:p>
    <w:p w:rsidR="009A6434" w:rsidP="00270672" w:rsidRDefault="009A6434" w14:paraId="7D59D101" w14:textId="77777777">
      <w:pPr>
        <w:pStyle w:val="NoSpacing"/>
        <w:rPr>
          <w:b/>
          <w:bCs/>
        </w:rPr>
      </w:pPr>
    </w:p>
    <w:p w:rsidR="009A6434" w:rsidP="00270672" w:rsidRDefault="009A6434" w14:paraId="0DC6C32F" w14:textId="77777777">
      <w:pPr>
        <w:pStyle w:val="NoSpacing"/>
        <w:rPr>
          <w:b/>
          <w:bCs/>
        </w:rPr>
      </w:pPr>
    </w:p>
    <w:p w:rsidR="009A6434" w:rsidP="00270672" w:rsidRDefault="009A6434" w14:paraId="7A03DD59" w14:textId="77777777">
      <w:pPr>
        <w:pStyle w:val="NoSpacing"/>
        <w:rPr>
          <w:b/>
          <w:bCs/>
        </w:rPr>
      </w:pPr>
    </w:p>
    <w:p w:rsidR="00270672" w:rsidP="00270672" w:rsidRDefault="00270672" w14:paraId="0C197E45" w14:textId="1CE060C8">
      <w:pPr>
        <w:pStyle w:val="NoSpacing"/>
        <w:rPr>
          <w:b/>
          <w:bCs/>
        </w:rPr>
      </w:pPr>
      <w:r>
        <w:rPr>
          <w:b/>
          <w:bCs/>
        </w:rPr>
        <w:lastRenderedPageBreak/>
        <w:t>Disclaimers:</w:t>
      </w:r>
    </w:p>
    <w:p w:rsidRPr="00270672" w:rsidR="008760A4" w:rsidP="00270672" w:rsidRDefault="008760A4" w14:paraId="2622E13A" w14:textId="77777777">
      <w:pPr>
        <w:pStyle w:val="NoSpacing"/>
        <w:rPr>
          <w:b/>
          <w:bCs/>
        </w:rPr>
      </w:pPr>
    </w:p>
    <w:tbl>
      <w:tblPr>
        <w:tblStyle w:val="TableGrid"/>
        <w:tblW w:w="0" w:type="auto"/>
        <w:tblLook w:val="04A0" w:firstRow="1" w:lastRow="0" w:firstColumn="1" w:lastColumn="0" w:noHBand="0" w:noVBand="1"/>
      </w:tblPr>
      <w:tblGrid>
        <w:gridCol w:w="2062"/>
        <w:gridCol w:w="7560"/>
      </w:tblGrid>
      <w:tr w:rsidR="0063543A" w:rsidTr="0063543A" w14:paraId="6F94630B" w14:textId="77777777">
        <w:tc>
          <w:tcPr>
            <w:tcW w:w="2062" w:type="dxa"/>
          </w:tcPr>
          <w:p w:rsidR="0063543A" w:rsidP="0063543A" w:rsidRDefault="0063543A" w14:paraId="7631799B" w14:textId="64AF6672">
            <w:r>
              <w:rPr>
                <w:b/>
                <w:bCs/>
              </w:rPr>
              <w:t>Disclaimer number</w:t>
            </w:r>
          </w:p>
        </w:tc>
        <w:tc>
          <w:tcPr>
            <w:tcW w:w="7560" w:type="dxa"/>
            <w:vAlign w:val="center"/>
          </w:tcPr>
          <w:p w:rsidR="0063543A" w:rsidP="0063543A" w:rsidRDefault="0063543A" w14:paraId="63131EE0" w14:textId="4B7489A9">
            <w:r>
              <w:rPr>
                <w:b/>
                <w:bCs/>
              </w:rPr>
              <w:t>Description</w:t>
            </w:r>
          </w:p>
        </w:tc>
      </w:tr>
      <w:tr w:rsidR="0063543A" w:rsidTr="0063543A" w14:paraId="78CD59EE" w14:textId="77777777">
        <w:tc>
          <w:tcPr>
            <w:tcW w:w="2062" w:type="dxa"/>
            <w:vAlign w:val="center"/>
          </w:tcPr>
          <w:p w:rsidR="0063543A" w:rsidP="0063543A" w:rsidRDefault="0063543A" w14:paraId="2AA89DE0" w14:textId="0D21A972">
            <w:pPr>
              <w:jc w:val="center"/>
            </w:pPr>
            <w:r>
              <w:rPr>
                <w:rFonts w:ascii="Calibri" w:hAnsi="Calibri" w:cs="Calibri"/>
                <w:color w:val="000000"/>
              </w:rPr>
              <w:t>1</w:t>
            </w:r>
          </w:p>
        </w:tc>
        <w:tc>
          <w:tcPr>
            <w:tcW w:w="7560" w:type="dxa"/>
            <w:vAlign w:val="bottom"/>
          </w:tcPr>
          <w:p w:rsidR="0063543A" w:rsidP="0063543A" w:rsidRDefault="0063543A" w14:paraId="21BD5E0A" w14:textId="2065DD9D">
            <w:r>
              <w:rPr>
                <w:rFonts w:ascii="Calibri" w:hAnsi="Calibri" w:cs="Calibri"/>
                <w:color w:val="000000"/>
              </w:rPr>
              <w:t>Charges and base rates are not all inclusive and can include additional charges and payments for carve out drug and supplies</w:t>
            </w:r>
          </w:p>
        </w:tc>
      </w:tr>
      <w:tr w:rsidR="0063543A" w:rsidTr="0063543A" w14:paraId="062C2B54" w14:textId="77777777">
        <w:tc>
          <w:tcPr>
            <w:tcW w:w="2062" w:type="dxa"/>
            <w:vAlign w:val="center"/>
          </w:tcPr>
          <w:p w:rsidR="0063543A" w:rsidP="0063543A" w:rsidRDefault="0063543A" w14:paraId="78FFF76B" w14:textId="5F6E2AF7">
            <w:pPr>
              <w:jc w:val="center"/>
            </w:pPr>
            <w:r>
              <w:rPr>
                <w:rFonts w:ascii="Calibri" w:hAnsi="Calibri" w:cs="Calibri"/>
                <w:color w:val="000000"/>
              </w:rPr>
              <w:t>2</w:t>
            </w:r>
          </w:p>
        </w:tc>
        <w:tc>
          <w:tcPr>
            <w:tcW w:w="7560" w:type="dxa"/>
            <w:vAlign w:val="bottom"/>
          </w:tcPr>
          <w:p w:rsidR="0063543A" w:rsidP="0063543A" w:rsidRDefault="0063543A" w14:paraId="0EC3BCBC" w14:textId="367E6CAA">
            <w:r>
              <w:rPr>
                <w:rFonts w:ascii="Calibri" w:hAnsi="Calibri" w:cs="Calibri"/>
                <w:color w:val="000000"/>
              </w:rPr>
              <w:t>The base rate shown represents the allowable payer specific rate and, in some instances, due to complications, stop loss or lesser of provisions for atypical claims or physician ordering patterns, utilization and other factors, the allowable amount for a particular claim can be significantly lower or higher</w:t>
            </w:r>
          </w:p>
        </w:tc>
      </w:tr>
      <w:tr w:rsidR="0063543A" w:rsidTr="0063543A" w14:paraId="3FA4E540" w14:textId="77777777">
        <w:tc>
          <w:tcPr>
            <w:tcW w:w="2062" w:type="dxa"/>
            <w:vAlign w:val="center"/>
          </w:tcPr>
          <w:p w:rsidR="0063543A" w:rsidP="0063543A" w:rsidRDefault="0063543A" w14:paraId="6786DD60" w14:textId="20733A8C">
            <w:pPr>
              <w:jc w:val="center"/>
            </w:pPr>
            <w:r>
              <w:rPr>
                <w:rFonts w:ascii="Calibri" w:hAnsi="Calibri" w:cs="Calibri"/>
                <w:color w:val="000000"/>
              </w:rPr>
              <w:t>3</w:t>
            </w:r>
          </w:p>
        </w:tc>
        <w:tc>
          <w:tcPr>
            <w:tcW w:w="7560" w:type="dxa"/>
            <w:vAlign w:val="bottom"/>
          </w:tcPr>
          <w:p w:rsidR="0063543A" w:rsidP="0063543A" w:rsidRDefault="0063543A" w14:paraId="3BE79DFE" w14:textId="5EE3ABF1">
            <w:r>
              <w:rPr>
                <w:rFonts w:ascii="Calibri" w:hAnsi="Calibri" w:cs="Calibri"/>
                <w:color w:val="000000"/>
              </w:rPr>
              <w:t>The hospital and physician chargemasters as well as the NDC data represents the most current available as of the Machine-Readable run date</w:t>
            </w:r>
          </w:p>
        </w:tc>
      </w:tr>
      <w:tr w:rsidR="0063543A" w:rsidTr="0063543A" w14:paraId="4D15ADA7" w14:textId="77777777">
        <w:tc>
          <w:tcPr>
            <w:tcW w:w="2062" w:type="dxa"/>
            <w:vAlign w:val="center"/>
          </w:tcPr>
          <w:p w:rsidR="0063543A" w:rsidP="0063543A" w:rsidRDefault="0063543A" w14:paraId="33FBA922" w14:textId="7F99C726">
            <w:pPr>
              <w:jc w:val="center"/>
            </w:pPr>
            <w:r>
              <w:rPr>
                <w:rFonts w:ascii="Calibri" w:hAnsi="Calibri" w:cs="Calibri"/>
                <w:color w:val="000000"/>
              </w:rPr>
              <w:t>4</w:t>
            </w:r>
          </w:p>
        </w:tc>
        <w:tc>
          <w:tcPr>
            <w:tcW w:w="7560" w:type="dxa"/>
            <w:vAlign w:val="bottom"/>
          </w:tcPr>
          <w:p w:rsidR="0063543A" w:rsidP="0063543A" w:rsidRDefault="0063543A" w14:paraId="589451DF" w14:textId="5F482539">
            <w:r>
              <w:rPr>
                <w:rFonts w:ascii="Calibri" w:hAnsi="Calibri" w:cs="Calibri"/>
                <w:color w:val="000000"/>
              </w:rPr>
              <w:t>Medicare OPPS, APRDRG &amp; EAPG payment methods represent base rates that can be adjusted by other regional or hospital specific factors. Line item charges and subsequent payments can be subject to packaging. For example, items with a negotiated rate of 0</w:t>
            </w:r>
          </w:p>
        </w:tc>
      </w:tr>
      <w:tr w:rsidR="0063543A" w:rsidTr="0063543A" w14:paraId="60887980" w14:textId="77777777">
        <w:tc>
          <w:tcPr>
            <w:tcW w:w="2062" w:type="dxa"/>
            <w:vAlign w:val="center"/>
          </w:tcPr>
          <w:p w:rsidR="0063543A" w:rsidP="0063543A" w:rsidRDefault="0063543A" w14:paraId="53B3D11C" w14:textId="497A0925">
            <w:pPr>
              <w:jc w:val="center"/>
            </w:pPr>
            <w:r>
              <w:rPr>
                <w:rFonts w:ascii="Calibri" w:hAnsi="Calibri" w:cs="Calibri"/>
                <w:color w:val="000000"/>
              </w:rPr>
              <w:t>5</w:t>
            </w:r>
          </w:p>
        </w:tc>
        <w:tc>
          <w:tcPr>
            <w:tcW w:w="7560" w:type="dxa"/>
            <w:vAlign w:val="bottom"/>
          </w:tcPr>
          <w:p w:rsidR="0063543A" w:rsidP="0063543A" w:rsidRDefault="0063543A" w14:paraId="3469F929" w14:textId="6DC8F264">
            <w:r>
              <w:rPr>
                <w:rFonts w:ascii="Calibri" w:hAnsi="Calibri" w:cs="Calibri"/>
                <w:color w:val="000000"/>
              </w:rPr>
              <w:t>Service Package under rate methodology within the hospital charge master, represents items that are displayed as an inpatient MS-DRG</w:t>
            </w:r>
          </w:p>
        </w:tc>
      </w:tr>
      <w:tr w:rsidR="0063543A" w:rsidTr="0063543A" w14:paraId="052A7E0A" w14:textId="77777777">
        <w:tc>
          <w:tcPr>
            <w:tcW w:w="2062" w:type="dxa"/>
            <w:vAlign w:val="center"/>
          </w:tcPr>
          <w:p w:rsidR="0063543A" w:rsidP="0063543A" w:rsidRDefault="0063543A" w14:paraId="6EAA1B02" w14:textId="69BDB285">
            <w:pPr>
              <w:jc w:val="center"/>
            </w:pPr>
            <w:r>
              <w:rPr>
                <w:rFonts w:ascii="Calibri" w:hAnsi="Calibri" w:cs="Calibri"/>
                <w:color w:val="000000"/>
              </w:rPr>
              <w:t>6</w:t>
            </w:r>
          </w:p>
        </w:tc>
        <w:tc>
          <w:tcPr>
            <w:tcW w:w="7560" w:type="dxa"/>
            <w:vAlign w:val="bottom"/>
          </w:tcPr>
          <w:p w:rsidR="0063543A" w:rsidP="0063543A" w:rsidRDefault="0063543A" w14:paraId="0EDB1111" w14:textId="5107DBBD">
            <w:r>
              <w:rPr>
                <w:rFonts w:ascii="Calibri" w:hAnsi="Calibri" w:cs="Calibri"/>
                <w:color w:val="000000"/>
              </w:rPr>
              <w:t>EAPG's are cross walked to a HCPCS, if the EAPG weight is 0.00, the base rate is $0.</w:t>
            </w:r>
          </w:p>
        </w:tc>
      </w:tr>
      <w:tr w:rsidR="0063543A" w:rsidTr="0063543A" w14:paraId="73B181E7" w14:textId="77777777">
        <w:tc>
          <w:tcPr>
            <w:tcW w:w="2062" w:type="dxa"/>
            <w:vAlign w:val="center"/>
          </w:tcPr>
          <w:p w:rsidR="0063543A" w:rsidP="0063543A" w:rsidRDefault="0063543A" w14:paraId="4A31F656" w14:textId="2D768F9B">
            <w:pPr>
              <w:jc w:val="center"/>
            </w:pPr>
            <w:r>
              <w:rPr>
                <w:rFonts w:ascii="Calibri" w:hAnsi="Calibri" w:cs="Calibri"/>
                <w:color w:val="000000"/>
              </w:rPr>
              <w:t>7</w:t>
            </w:r>
          </w:p>
        </w:tc>
        <w:tc>
          <w:tcPr>
            <w:tcW w:w="7560" w:type="dxa"/>
            <w:vAlign w:val="bottom"/>
          </w:tcPr>
          <w:p w:rsidR="0063543A" w:rsidP="0063543A" w:rsidRDefault="0063543A" w14:paraId="79C41DA0" w14:textId="5C52AE07">
            <w:r>
              <w:rPr>
                <w:rFonts w:ascii="Calibri" w:hAnsi="Calibri" w:cs="Calibri"/>
                <w:color w:val="000000"/>
              </w:rPr>
              <w:t xml:space="preserve">Where there are rates displayed for salaried physicians, in some instances where the payer fee schedule is absent of a facility rate, the </w:t>
            </w:r>
            <w:r w:rsidR="00D03386">
              <w:rPr>
                <w:rFonts w:ascii="Calibri" w:hAnsi="Calibri" w:cs="Calibri"/>
                <w:color w:val="000000"/>
              </w:rPr>
              <w:t>non-facility</w:t>
            </w:r>
            <w:r>
              <w:rPr>
                <w:rFonts w:ascii="Calibri" w:hAnsi="Calibri" w:cs="Calibri"/>
                <w:color w:val="000000"/>
              </w:rPr>
              <w:t xml:space="preserve"> rate is what will be displayed.</w:t>
            </w:r>
          </w:p>
        </w:tc>
      </w:tr>
      <w:tr w:rsidR="0063543A" w:rsidTr="0063543A" w14:paraId="5405BA44" w14:textId="77777777">
        <w:tc>
          <w:tcPr>
            <w:tcW w:w="2062" w:type="dxa"/>
            <w:vAlign w:val="center"/>
          </w:tcPr>
          <w:p w:rsidR="0063543A" w:rsidP="0063543A" w:rsidRDefault="0063543A" w14:paraId="49CBD611" w14:textId="7AC7AADA">
            <w:pPr>
              <w:jc w:val="center"/>
              <w:rPr>
                <w:rFonts w:ascii="Calibri" w:hAnsi="Calibri" w:cs="Calibri"/>
                <w:color w:val="000000"/>
              </w:rPr>
            </w:pPr>
            <w:r>
              <w:rPr>
                <w:rFonts w:ascii="Calibri" w:hAnsi="Calibri" w:cs="Calibri"/>
                <w:color w:val="000000"/>
              </w:rPr>
              <w:t>8</w:t>
            </w:r>
          </w:p>
        </w:tc>
        <w:tc>
          <w:tcPr>
            <w:tcW w:w="7560" w:type="dxa"/>
            <w:vAlign w:val="bottom"/>
          </w:tcPr>
          <w:p w:rsidR="0063543A" w:rsidP="0063543A" w:rsidRDefault="0063543A" w14:paraId="2BE0395F" w14:textId="6A1A4545">
            <w:r>
              <w:rPr>
                <w:rFonts w:ascii="Calibri" w:hAnsi="Calibri" w:cs="Calibri"/>
                <w:color w:val="000000"/>
              </w:rPr>
              <w:t>If the hospital has employed physicians, the MRF will display a separate CDM within the billing code type field with standard charges in accordance with CMS regulations.</w:t>
            </w:r>
          </w:p>
        </w:tc>
      </w:tr>
    </w:tbl>
    <w:p w:rsidR="00233154" w:rsidRDefault="00233154" w14:paraId="411B5F3B" w14:textId="77777777"/>
    <w:sectPr w:rsidR="00233154" w:rsidSect="00775211">
      <w:pgSz w:w="12240" w:h="15840" w:orient="portrait"/>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889"/>
    <w:rsid w:val="00000EE3"/>
    <w:rsid w:val="001565A7"/>
    <w:rsid w:val="00175EFE"/>
    <w:rsid w:val="00202DA9"/>
    <w:rsid w:val="00230DE1"/>
    <w:rsid w:val="00233154"/>
    <w:rsid w:val="00261F4A"/>
    <w:rsid w:val="00270672"/>
    <w:rsid w:val="002A5DC2"/>
    <w:rsid w:val="003F4B85"/>
    <w:rsid w:val="003F6F6C"/>
    <w:rsid w:val="00412CAD"/>
    <w:rsid w:val="004469F9"/>
    <w:rsid w:val="00482746"/>
    <w:rsid w:val="005D5F2F"/>
    <w:rsid w:val="0063543A"/>
    <w:rsid w:val="00685B64"/>
    <w:rsid w:val="00775211"/>
    <w:rsid w:val="007D7F26"/>
    <w:rsid w:val="00860403"/>
    <w:rsid w:val="00870585"/>
    <w:rsid w:val="008760A4"/>
    <w:rsid w:val="00911D3D"/>
    <w:rsid w:val="009A6434"/>
    <w:rsid w:val="00A20AE6"/>
    <w:rsid w:val="00A44DDE"/>
    <w:rsid w:val="00B21889"/>
    <w:rsid w:val="00B22AC0"/>
    <w:rsid w:val="00B81F22"/>
    <w:rsid w:val="00CF0FFA"/>
    <w:rsid w:val="00D03386"/>
    <w:rsid w:val="00D238DE"/>
    <w:rsid w:val="00D54482"/>
    <w:rsid w:val="00DF1EBB"/>
    <w:rsid w:val="00F973E0"/>
    <w:rsid w:val="00FB381A"/>
    <w:rsid w:val="4931D6C7"/>
    <w:rsid w:val="643F26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269121"/>
  <w15:chartTrackingRefBased/>
  <w15:docId w15:val="{A2C99DF8-25E8-4226-956F-0C5873DCD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B2188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CommentReference">
    <w:name w:val="annotation reference"/>
    <w:basedOn w:val="DefaultParagraphFont"/>
    <w:uiPriority w:val="99"/>
    <w:semiHidden/>
    <w:unhideWhenUsed/>
    <w:rsid w:val="00000EE3"/>
    <w:rPr>
      <w:sz w:val="16"/>
      <w:szCs w:val="16"/>
    </w:rPr>
  </w:style>
  <w:style w:type="paragraph" w:styleId="CommentText">
    <w:name w:val="annotation text"/>
    <w:basedOn w:val="Normal"/>
    <w:link w:val="CommentTextChar"/>
    <w:uiPriority w:val="99"/>
    <w:semiHidden/>
    <w:unhideWhenUsed/>
    <w:rsid w:val="00000EE3"/>
    <w:pPr>
      <w:spacing w:line="240" w:lineRule="auto"/>
    </w:pPr>
    <w:rPr>
      <w:sz w:val="20"/>
      <w:szCs w:val="20"/>
    </w:rPr>
  </w:style>
  <w:style w:type="character" w:styleId="CommentTextChar" w:customStyle="1">
    <w:name w:val="Comment Text Char"/>
    <w:basedOn w:val="DefaultParagraphFont"/>
    <w:link w:val="CommentText"/>
    <w:uiPriority w:val="99"/>
    <w:semiHidden/>
    <w:rsid w:val="00000EE3"/>
    <w:rPr>
      <w:sz w:val="20"/>
      <w:szCs w:val="20"/>
    </w:rPr>
  </w:style>
  <w:style w:type="paragraph" w:styleId="CommentSubject">
    <w:name w:val="annotation subject"/>
    <w:basedOn w:val="CommentText"/>
    <w:next w:val="CommentText"/>
    <w:link w:val="CommentSubjectChar"/>
    <w:uiPriority w:val="99"/>
    <w:semiHidden/>
    <w:unhideWhenUsed/>
    <w:rsid w:val="00000EE3"/>
    <w:rPr>
      <w:b/>
      <w:bCs/>
    </w:rPr>
  </w:style>
  <w:style w:type="character" w:styleId="CommentSubjectChar" w:customStyle="1">
    <w:name w:val="Comment Subject Char"/>
    <w:basedOn w:val="CommentTextChar"/>
    <w:link w:val="CommentSubject"/>
    <w:uiPriority w:val="99"/>
    <w:semiHidden/>
    <w:rsid w:val="00000EE3"/>
    <w:rPr>
      <w:b/>
      <w:bCs/>
      <w:sz w:val="20"/>
      <w:szCs w:val="20"/>
    </w:rPr>
  </w:style>
  <w:style w:type="paragraph" w:styleId="BalloonText">
    <w:name w:val="Balloon Text"/>
    <w:basedOn w:val="Normal"/>
    <w:link w:val="BalloonTextChar"/>
    <w:uiPriority w:val="99"/>
    <w:semiHidden/>
    <w:unhideWhenUsed/>
    <w:rsid w:val="00000EE3"/>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000EE3"/>
    <w:rPr>
      <w:rFonts w:ascii="Segoe UI" w:hAnsi="Segoe UI" w:cs="Segoe UI"/>
      <w:sz w:val="18"/>
      <w:szCs w:val="18"/>
    </w:rPr>
  </w:style>
  <w:style w:type="paragraph" w:styleId="Revision">
    <w:name w:val="Revision"/>
    <w:hidden/>
    <w:uiPriority w:val="99"/>
    <w:semiHidden/>
    <w:rsid w:val="00175EFE"/>
    <w:pPr>
      <w:spacing w:after="0" w:line="240" w:lineRule="auto"/>
    </w:pPr>
  </w:style>
  <w:style w:type="paragraph" w:styleId="ListParagraph">
    <w:name w:val="List Paragraph"/>
    <w:basedOn w:val="Normal"/>
    <w:uiPriority w:val="34"/>
    <w:qFormat/>
    <w:rsid w:val="00233154"/>
    <w:pPr>
      <w:ind w:left="720"/>
      <w:contextualSpacing/>
    </w:pPr>
  </w:style>
  <w:style w:type="paragraph" w:styleId="NoSpacing">
    <w:name w:val="No Spacing"/>
    <w:uiPriority w:val="1"/>
    <w:qFormat/>
    <w:rsid w:val="0023315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6267304">
      <w:bodyDiv w:val="1"/>
      <w:marLeft w:val="0"/>
      <w:marRight w:val="0"/>
      <w:marTop w:val="0"/>
      <w:marBottom w:val="0"/>
      <w:divBdr>
        <w:top w:val="none" w:sz="0" w:space="0" w:color="auto"/>
        <w:left w:val="none" w:sz="0" w:space="0" w:color="auto"/>
        <w:bottom w:val="none" w:sz="0" w:space="0" w:color="auto"/>
        <w:right w:val="none" w:sz="0" w:space="0" w:color="auto"/>
      </w:divBdr>
    </w:div>
    <w:div w:id="563563281">
      <w:bodyDiv w:val="1"/>
      <w:marLeft w:val="0"/>
      <w:marRight w:val="0"/>
      <w:marTop w:val="0"/>
      <w:marBottom w:val="0"/>
      <w:divBdr>
        <w:top w:val="none" w:sz="0" w:space="0" w:color="auto"/>
        <w:left w:val="none" w:sz="0" w:space="0" w:color="auto"/>
        <w:bottom w:val="none" w:sz="0" w:space="0" w:color="auto"/>
        <w:right w:val="none" w:sz="0" w:space="0" w:color="auto"/>
      </w:divBdr>
    </w:div>
    <w:div w:id="822817597">
      <w:bodyDiv w:val="1"/>
      <w:marLeft w:val="0"/>
      <w:marRight w:val="0"/>
      <w:marTop w:val="0"/>
      <w:marBottom w:val="0"/>
      <w:divBdr>
        <w:top w:val="none" w:sz="0" w:space="0" w:color="auto"/>
        <w:left w:val="none" w:sz="0" w:space="0" w:color="auto"/>
        <w:bottom w:val="none" w:sz="0" w:space="0" w:color="auto"/>
        <w:right w:val="none" w:sz="0" w:space="0" w:color="auto"/>
      </w:divBdr>
    </w:div>
    <w:div w:id="1384602289">
      <w:bodyDiv w:val="1"/>
      <w:marLeft w:val="0"/>
      <w:marRight w:val="0"/>
      <w:marTop w:val="0"/>
      <w:marBottom w:val="0"/>
      <w:divBdr>
        <w:top w:val="none" w:sz="0" w:space="0" w:color="auto"/>
        <w:left w:val="none" w:sz="0" w:space="0" w:color="auto"/>
        <w:bottom w:val="none" w:sz="0" w:space="0" w:color="auto"/>
        <w:right w:val="none" w:sz="0" w:space="0" w:color="auto"/>
      </w:divBdr>
    </w:div>
    <w:div w:id="1680935654">
      <w:bodyDiv w:val="1"/>
      <w:marLeft w:val="0"/>
      <w:marRight w:val="0"/>
      <w:marTop w:val="0"/>
      <w:marBottom w:val="0"/>
      <w:divBdr>
        <w:top w:val="none" w:sz="0" w:space="0" w:color="auto"/>
        <w:left w:val="none" w:sz="0" w:space="0" w:color="auto"/>
        <w:bottom w:val="none" w:sz="0" w:space="0" w:color="auto"/>
        <w:right w:val="none" w:sz="0" w:space="0" w:color="auto"/>
      </w:divBdr>
    </w:div>
    <w:div w:id="1902599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image" Target="media/image1.png"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styles" Target="styles.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893659f-fbbb-4d61-9e82-a9c2e8460f01">
      <Terms xmlns="http://schemas.microsoft.com/office/infopath/2007/PartnerControls"/>
    </lcf76f155ced4ddcb4097134ff3c332f>
    <TaxCatchAll xmlns="3522e475-14cf-4ddb-8a74-5daa0ca7b10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9DE86B6AB725F4E8077A45DB816A831" ma:contentTypeVersion="13" ma:contentTypeDescription="Create a new document." ma:contentTypeScope="" ma:versionID="35bffa68da8b219877f0a24879a25857">
  <xsd:schema xmlns:xsd="http://www.w3.org/2001/XMLSchema" xmlns:xs="http://www.w3.org/2001/XMLSchema" xmlns:p="http://schemas.microsoft.com/office/2006/metadata/properties" xmlns:ns2="f893659f-fbbb-4d61-9e82-a9c2e8460f01" xmlns:ns3="3522e475-14cf-4ddb-8a74-5daa0ca7b109" targetNamespace="http://schemas.microsoft.com/office/2006/metadata/properties" ma:root="true" ma:fieldsID="8a314756840dacf563a22302e4ab36fa" ns2:_="" ns3:_="">
    <xsd:import namespace="f893659f-fbbb-4d61-9e82-a9c2e8460f01"/>
    <xsd:import namespace="3522e475-14cf-4ddb-8a74-5daa0ca7b10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93659f-fbbb-4d61-9e82-a9c2e8460f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b5f8a93-2092-4725-91b1-38453ca3cc3d"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22e475-14cf-4ddb-8a74-5daa0ca7b10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d630b161-371d-4220-b653-cd92b520c809}" ma:internalName="TaxCatchAll" ma:showField="CatchAllData" ma:web="3522e475-14cf-4ddb-8a74-5daa0ca7b10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378126-9239-46CB-978F-9AE339FDD8BD}">
  <ds:schemaRefs>
    <ds:schemaRef ds:uri="http://schemas.microsoft.com/sharepoint/v3/contenttype/forms"/>
  </ds:schemaRefs>
</ds:datastoreItem>
</file>

<file path=customXml/itemProps2.xml><?xml version="1.0" encoding="utf-8"?>
<ds:datastoreItem xmlns:ds="http://schemas.openxmlformats.org/officeDocument/2006/customXml" ds:itemID="{EA145628-548D-4F55-AEB3-551AE8F86064}">
  <ds:schemaRefs>
    <ds:schemaRef ds:uri="http://schemas.microsoft.com/office/2006/documentManagement/types"/>
    <ds:schemaRef ds:uri="3522e475-14cf-4ddb-8a74-5daa0ca7b109"/>
    <ds:schemaRef ds:uri="http://purl.org/dc/elements/1.1/"/>
    <ds:schemaRef ds:uri="http://schemas.microsoft.com/office/2006/metadata/properties"/>
    <ds:schemaRef ds:uri="f893659f-fbbb-4d61-9e82-a9c2e8460f01"/>
    <ds:schemaRef ds:uri="http://purl.org/dc/term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2F07F3AA-0043-4703-86B9-5F819D4B72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93659f-fbbb-4d61-9e82-a9c2e8460f01"/>
    <ds:schemaRef ds:uri="3522e475-14cf-4ddb-8a74-5daa0ca7b1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4</ap:DocSecurity>
  <ap:ScaleCrop>false</ap:ScaleCrop>
  <ap:Company>Henry Ford Health System</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Corey, Michele</dc:creator>
  <cp:keywords/>
  <dc:description/>
  <cp:lastModifiedBy>Harrison, Kayla</cp:lastModifiedBy>
  <cp:revision>3</cp:revision>
  <dcterms:created xsi:type="dcterms:W3CDTF">2024-10-01T18:49:00Z</dcterms:created>
  <dcterms:modified xsi:type="dcterms:W3CDTF">2024-10-02T16:50:54Z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0x01010029DE86B6AB725F4E8077A45DB816A831</vt:lpwstr>
  </property>
  <property fmtid="{D5CDD505-2E9C-101B-9397-08002B2CF9AE}" pid="3" name="MediaServiceImageTags">
    <vt:lpwstr/>
  </property>
</Properties>
</file>